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EE475" w14:textId="77777777" w:rsidR="00AA7FB6" w:rsidRPr="0002512F" w:rsidRDefault="00AA7FB6" w:rsidP="00AA7FB6">
      <w:pPr>
        <w:jc w:val="center"/>
        <w:rPr>
          <w:rFonts w:asciiTheme="minorHAnsi" w:hAnsiTheme="minorHAnsi"/>
          <w:b/>
          <w:bCs/>
          <w:color w:val="231F20"/>
          <w:sz w:val="36"/>
          <w:szCs w:val="36"/>
        </w:rPr>
      </w:pPr>
      <w:r w:rsidRPr="0002512F">
        <w:rPr>
          <w:rFonts w:asciiTheme="minorHAnsi" w:hAnsiTheme="minorHAnsi"/>
          <w:b/>
          <w:bCs/>
          <w:color w:val="231F20"/>
          <w:sz w:val="36"/>
          <w:szCs w:val="36"/>
        </w:rPr>
        <w:t>Islamic Law, Waqf, Sustainable Agriculture, and Ecological Food Security</w:t>
      </w:r>
    </w:p>
    <w:p w14:paraId="794F3118" w14:textId="77777777" w:rsidR="00AA7FB6" w:rsidRPr="0002512F" w:rsidRDefault="00AA7FB6" w:rsidP="00AA7FB6">
      <w:pPr>
        <w:tabs>
          <w:tab w:val="left" w:pos="6821"/>
          <w:tab w:val="right" w:pos="9298"/>
        </w:tabs>
        <w:rPr>
          <w:rFonts w:asciiTheme="minorHAnsi" w:hAnsiTheme="minorHAnsi"/>
          <w:b/>
          <w:bCs/>
          <w:color w:val="231F20"/>
          <w:sz w:val="36"/>
          <w:szCs w:val="36"/>
        </w:rPr>
      </w:pPr>
      <w:r w:rsidRPr="0002512F">
        <w:rPr>
          <w:rFonts w:asciiTheme="minorHAnsi" w:hAnsiTheme="minorHAnsi"/>
          <w:b/>
          <w:bCs/>
          <w:color w:val="231F20"/>
          <w:sz w:val="36"/>
          <w:szCs w:val="36"/>
        </w:rPr>
        <w:tab/>
      </w:r>
      <w:r w:rsidRPr="0002512F">
        <w:rPr>
          <w:rFonts w:asciiTheme="minorHAnsi" w:hAnsiTheme="minorHAnsi"/>
          <w:b/>
          <w:bCs/>
          <w:color w:val="231F20"/>
          <w:sz w:val="36"/>
          <w:szCs w:val="36"/>
        </w:rPr>
        <w:tab/>
      </w:r>
    </w:p>
    <w:p w14:paraId="6E1B68B1" w14:textId="7131F2BE" w:rsidR="00AA7FB6" w:rsidRDefault="00AA7FB6" w:rsidP="00AA7FB6">
      <w:pPr>
        <w:spacing w:line="276" w:lineRule="auto"/>
        <w:jc w:val="center"/>
        <w:rPr>
          <w:rFonts w:asciiTheme="minorHAnsi" w:hAnsiTheme="minorHAnsi" w:cstheme="minorHAnsi"/>
          <w:b/>
          <w:bCs/>
          <w:color w:val="231F20"/>
          <w:sz w:val="28"/>
          <w:szCs w:val="28"/>
        </w:rPr>
      </w:pPr>
      <w:r w:rsidRPr="0002512F">
        <w:rPr>
          <w:rFonts w:asciiTheme="minorHAnsi" w:hAnsiTheme="minorHAnsi" w:cstheme="minorHAnsi"/>
          <w:b/>
          <w:bCs/>
          <w:color w:val="231F20"/>
          <w:sz w:val="28"/>
          <w:szCs w:val="28"/>
        </w:rPr>
        <w:t>Zulaihat Mohammed Yakubu</w:t>
      </w:r>
      <w:r w:rsidR="000432B5" w:rsidRPr="0002512F">
        <w:rPr>
          <w:rFonts w:asciiTheme="minorHAnsi" w:hAnsiTheme="minorHAnsi" w:cstheme="minorHAnsi"/>
          <w:b/>
          <w:bCs/>
          <w:color w:val="231F20"/>
          <w:sz w:val="28"/>
          <w:szCs w:val="28"/>
          <w:vertAlign w:val="superscript"/>
        </w:rPr>
        <w:t>1</w:t>
      </w:r>
      <w:r w:rsidRPr="0002512F">
        <w:rPr>
          <w:rFonts w:asciiTheme="minorHAnsi" w:hAnsiTheme="minorHAnsi" w:cstheme="minorHAnsi"/>
          <w:b/>
          <w:bCs/>
          <w:color w:val="231F20"/>
          <w:sz w:val="28"/>
          <w:szCs w:val="28"/>
        </w:rPr>
        <w:t>,</w:t>
      </w:r>
      <w:r w:rsidRPr="0002512F">
        <w:rPr>
          <w:rFonts w:asciiTheme="minorHAnsi" w:hAnsiTheme="minorHAnsi" w:cstheme="minorHAnsi"/>
          <w:b/>
          <w:bCs/>
          <w:color w:val="231F20"/>
          <w:sz w:val="28"/>
          <w:szCs w:val="28"/>
          <w:vertAlign w:val="superscript"/>
        </w:rPr>
        <w:t xml:space="preserve"> </w:t>
      </w:r>
      <w:r w:rsidRPr="0002512F">
        <w:rPr>
          <w:rFonts w:asciiTheme="minorHAnsi" w:hAnsiTheme="minorHAnsi" w:cstheme="minorHAnsi"/>
          <w:b/>
          <w:bCs/>
          <w:color w:val="231F20"/>
          <w:sz w:val="28"/>
          <w:szCs w:val="28"/>
        </w:rPr>
        <w:t>Adamu Abubakar Muhammad</w:t>
      </w:r>
      <w:r w:rsidR="000432B5" w:rsidRPr="0002512F">
        <w:rPr>
          <w:rFonts w:asciiTheme="minorHAnsi" w:hAnsiTheme="minorHAnsi" w:cstheme="minorHAnsi"/>
          <w:b/>
          <w:bCs/>
          <w:color w:val="231F20"/>
          <w:sz w:val="28"/>
          <w:szCs w:val="28"/>
          <w:vertAlign w:val="superscript"/>
        </w:rPr>
        <w:t>2</w:t>
      </w:r>
      <w:r w:rsidRPr="0002512F">
        <w:rPr>
          <w:rFonts w:asciiTheme="minorHAnsi" w:hAnsiTheme="minorHAnsi" w:cstheme="minorHAnsi"/>
          <w:b/>
          <w:bCs/>
          <w:color w:val="231F20"/>
          <w:sz w:val="28"/>
          <w:szCs w:val="28"/>
        </w:rPr>
        <w:t>,</w:t>
      </w:r>
      <w:r w:rsidR="000432B5" w:rsidRPr="0002512F">
        <w:rPr>
          <w:rFonts w:asciiTheme="minorHAnsi" w:hAnsiTheme="minorHAnsi" w:cstheme="minorHAnsi"/>
          <w:b/>
          <w:bCs/>
          <w:color w:val="231F20"/>
          <w:sz w:val="28"/>
          <w:szCs w:val="28"/>
          <w:vertAlign w:val="superscript"/>
        </w:rPr>
        <w:t xml:space="preserve"> </w:t>
      </w:r>
      <w:r w:rsidRPr="0002512F">
        <w:rPr>
          <w:rFonts w:asciiTheme="minorHAnsi" w:hAnsiTheme="minorHAnsi" w:cstheme="minorHAnsi"/>
          <w:b/>
          <w:bCs/>
          <w:color w:val="231F20"/>
          <w:sz w:val="28"/>
          <w:szCs w:val="28"/>
          <w:vertAlign w:val="superscript"/>
        </w:rPr>
        <w:t>*</w:t>
      </w:r>
      <w:r w:rsidRPr="0002512F">
        <w:rPr>
          <w:rFonts w:asciiTheme="minorHAnsi" w:hAnsiTheme="minorHAnsi" w:cstheme="minorHAnsi"/>
          <w:b/>
          <w:bCs/>
          <w:color w:val="231F20"/>
          <w:sz w:val="28"/>
          <w:szCs w:val="28"/>
        </w:rPr>
        <w:t xml:space="preserve"> Abubakar Sadiq Magaji</w:t>
      </w:r>
      <w:r w:rsidR="000432B5" w:rsidRPr="0002512F">
        <w:rPr>
          <w:rFonts w:asciiTheme="minorHAnsi" w:hAnsiTheme="minorHAnsi" w:cstheme="minorHAnsi"/>
          <w:b/>
          <w:bCs/>
          <w:color w:val="231F20"/>
          <w:sz w:val="28"/>
          <w:szCs w:val="28"/>
          <w:vertAlign w:val="superscript"/>
        </w:rPr>
        <w:t>2</w:t>
      </w:r>
      <w:r w:rsidRPr="0002512F">
        <w:rPr>
          <w:rFonts w:asciiTheme="minorHAnsi" w:hAnsiTheme="minorHAnsi" w:cstheme="minorHAnsi"/>
          <w:b/>
          <w:bCs/>
          <w:color w:val="231F20"/>
          <w:sz w:val="28"/>
          <w:szCs w:val="28"/>
          <w:vertAlign w:val="superscript"/>
        </w:rPr>
        <w:t xml:space="preserve"> </w:t>
      </w:r>
      <w:r w:rsidRPr="0002512F">
        <w:rPr>
          <w:rFonts w:asciiTheme="minorHAnsi" w:hAnsiTheme="minorHAnsi" w:cstheme="minorHAnsi"/>
          <w:b/>
          <w:bCs/>
          <w:color w:val="231F20"/>
          <w:sz w:val="28"/>
          <w:szCs w:val="28"/>
        </w:rPr>
        <w:t xml:space="preserve"> Shafa’at Ahmad Aliyu</w:t>
      </w:r>
      <w:r w:rsidR="000432B5">
        <w:rPr>
          <w:rFonts w:asciiTheme="minorHAnsi" w:hAnsiTheme="minorHAnsi" w:cstheme="minorHAnsi"/>
          <w:b/>
          <w:bCs/>
          <w:color w:val="231F20"/>
          <w:sz w:val="28"/>
          <w:szCs w:val="28"/>
          <w:vertAlign w:val="superscript"/>
        </w:rPr>
        <w:t>3</w:t>
      </w:r>
      <w:r w:rsidRPr="0002512F">
        <w:rPr>
          <w:rFonts w:asciiTheme="minorHAnsi" w:hAnsiTheme="minorHAnsi" w:cstheme="minorHAnsi"/>
          <w:b/>
          <w:bCs/>
          <w:color w:val="231F20"/>
          <w:sz w:val="28"/>
          <w:szCs w:val="28"/>
        </w:rPr>
        <w:t>, Hashimu Abdullahi</w:t>
      </w:r>
      <w:r w:rsidR="000432B5">
        <w:rPr>
          <w:rFonts w:asciiTheme="minorHAnsi" w:hAnsiTheme="minorHAnsi" w:cstheme="minorHAnsi"/>
          <w:b/>
          <w:bCs/>
          <w:color w:val="231F20"/>
          <w:sz w:val="28"/>
          <w:szCs w:val="28"/>
          <w:vertAlign w:val="superscript"/>
        </w:rPr>
        <w:t>4</w:t>
      </w:r>
      <w:r w:rsidRPr="0002512F">
        <w:rPr>
          <w:rFonts w:asciiTheme="minorHAnsi" w:hAnsiTheme="minorHAnsi" w:cstheme="minorHAnsi"/>
          <w:b/>
          <w:bCs/>
          <w:color w:val="231F20"/>
          <w:sz w:val="28"/>
          <w:szCs w:val="28"/>
        </w:rPr>
        <w:t xml:space="preserve">, </w:t>
      </w:r>
    </w:p>
    <w:p w14:paraId="2843469A" w14:textId="77777777" w:rsidR="0002512F" w:rsidRPr="0002512F" w:rsidRDefault="0002512F" w:rsidP="00AA7FB6">
      <w:pPr>
        <w:spacing w:line="276" w:lineRule="auto"/>
        <w:jc w:val="center"/>
        <w:rPr>
          <w:rFonts w:asciiTheme="minorHAnsi" w:hAnsiTheme="minorHAnsi" w:cstheme="minorHAnsi"/>
          <w:b/>
          <w:bCs/>
          <w:color w:val="231F20"/>
          <w:sz w:val="28"/>
          <w:szCs w:val="28"/>
        </w:rPr>
      </w:pPr>
    </w:p>
    <w:p w14:paraId="2C8C3B9F" w14:textId="67090B93" w:rsidR="00AA7FB6" w:rsidRDefault="00AA7FB6" w:rsidP="00AA7FB6">
      <w:pPr>
        <w:spacing w:line="276" w:lineRule="auto"/>
        <w:jc w:val="center"/>
        <w:rPr>
          <w:rFonts w:asciiTheme="minorHAnsi" w:hAnsiTheme="minorHAnsi" w:cstheme="minorHAnsi"/>
          <w:color w:val="231F20"/>
        </w:rPr>
      </w:pPr>
      <w:r w:rsidRPr="0002512F">
        <w:rPr>
          <w:rFonts w:asciiTheme="minorHAnsi" w:hAnsiTheme="minorHAnsi" w:cstheme="minorHAnsi"/>
          <w:color w:val="231F20"/>
          <w:vertAlign w:val="superscript"/>
        </w:rPr>
        <w:t>1,</w:t>
      </w:r>
      <w:r w:rsidRPr="0002512F">
        <w:rPr>
          <w:rFonts w:asciiTheme="minorHAnsi" w:hAnsiTheme="minorHAnsi" w:cstheme="minorHAnsi"/>
          <w:color w:val="231F20"/>
        </w:rPr>
        <w:t xml:space="preserve">University of Abuja, Nigeria, </w:t>
      </w:r>
      <w:r w:rsidRPr="0002512F">
        <w:rPr>
          <w:rFonts w:asciiTheme="minorHAnsi" w:hAnsiTheme="minorHAnsi" w:cstheme="minorHAnsi"/>
          <w:color w:val="231F20"/>
          <w:vertAlign w:val="superscript"/>
        </w:rPr>
        <w:t>2</w:t>
      </w:r>
      <w:r w:rsidRPr="0002512F">
        <w:rPr>
          <w:rFonts w:asciiTheme="minorHAnsi" w:hAnsiTheme="minorHAnsi" w:cstheme="minorHAnsi"/>
          <w:color w:val="231F20"/>
        </w:rPr>
        <w:t xml:space="preserve">Federal University of Kashere, Gombe State, Nigeria, </w:t>
      </w:r>
      <w:r w:rsidR="000432B5">
        <w:rPr>
          <w:rFonts w:asciiTheme="minorHAnsi" w:hAnsiTheme="minorHAnsi" w:cstheme="minorHAnsi"/>
          <w:color w:val="231F20"/>
          <w:vertAlign w:val="superscript"/>
        </w:rPr>
        <w:t>3</w:t>
      </w:r>
      <w:r w:rsidRPr="0002512F">
        <w:rPr>
          <w:rFonts w:asciiTheme="minorHAnsi" w:hAnsiTheme="minorHAnsi" w:cstheme="minorHAnsi"/>
          <w:color w:val="231F20"/>
        </w:rPr>
        <w:t xml:space="preserve">Federal University of Education Zaria, Kaduna State, Nigeria, </w:t>
      </w:r>
      <w:r w:rsidR="000432B5">
        <w:rPr>
          <w:rFonts w:asciiTheme="minorHAnsi" w:hAnsiTheme="minorHAnsi" w:cstheme="minorHAnsi"/>
          <w:color w:val="231F20"/>
          <w:vertAlign w:val="superscript"/>
        </w:rPr>
        <w:t>4</w:t>
      </w:r>
      <w:r w:rsidRPr="0002512F">
        <w:rPr>
          <w:rFonts w:asciiTheme="minorHAnsi" w:hAnsiTheme="minorHAnsi" w:cstheme="minorHAnsi"/>
          <w:color w:val="231F20"/>
        </w:rPr>
        <w:t>Federal University Dutsin-ma, Katsina State, Nigeria.</w:t>
      </w:r>
    </w:p>
    <w:p w14:paraId="4C173483" w14:textId="77777777" w:rsidR="0002512F" w:rsidRPr="0002512F" w:rsidRDefault="0002512F" w:rsidP="00AA7FB6">
      <w:pPr>
        <w:spacing w:line="276" w:lineRule="auto"/>
        <w:jc w:val="center"/>
        <w:rPr>
          <w:rFonts w:asciiTheme="minorHAnsi" w:hAnsiTheme="minorHAnsi" w:cstheme="minorHAnsi"/>
          <w:color w:val="231F20"/>
        </w:rPr>
      </w:pPr>
    </w:p>
    <w:p w14:paraId="1AD81D34" w14:textId="77777777" w:rsidR="00AA7FB6" w:rsidRPr="0002512F" w:rsidRDefault="00AA7FB6" w:rsidP="00AA7FB6">
      <w:pPr>
        <w:spacing w:line="276" w:lineRule="auto"/>
        <w:jc w:val="center"/>
        <w:rPr>
          <w:rFonts w:asciiTheme="minorHAnsi" w:hAnsiTheme="minorHAnsi" w:cstheme="minorHAnsi"/>
          <w:color w:val="231F20"/>
          <w:sz w:val="28"/>
          <w:szCs w:val="28"/>
        </w:rPr>
      </w:pPr>
      <w:r w:rsidRPr="0002512F">
        <w:rPr>
          <w:rFonts w:asciiTheme="minorHAnsi" w:hAnsiTheme="minorHAnsi" w:cstheme="minorHAnsi"/>
          <w:color w:val="231F20"/>
          <w:sz w:val="21"/>
          <w:szCs w:val="21"/>
        </w:rPr>
        <w:t>*</w:t>
      </w:r>
      <w:r w:rsidRPr="000432B5">
        <w:rPr>
          <w:rFonts w:asciiTheme="minorHAnsi" w:hAnsiTheme="minorHAnsi" w:cstheme="minorHAnsi"/>
          <w:color w:val="231F20"/>
          <w:sz w:val="22"/>
          <w:szCs w:val="22"/>
        </w:rPr>
        <w:t xml:space="preserve">Corresponding author’s email: </w:t>
      </w:r>
      <w:hyperlink r:id="rId8" w:history="1">
        <w:r w:rsidRPr="000432B5">
          <w:rPr>
            <w:rStyle w:val="Hyperlink"/>
            <w:rFonts w:asciiTheme="minorHAnsi" w:eastAsia="Calibri" w:hAnsiTheme="minorHAnsi" w:cstheme="minorHAnsi"/>
            <w:sz w:val="22"/>
            <w:szCs w:val="22"/>
          </w:rPr>
          <w:t>abubakaradamu1980@gmail.com</w:t>
        </w:r>
      </w:hyperlink>
    </w:p>
    <w:p w14:paraId="41BA02EA" w14:textId="77777777" w:rsidR="00AA7FB6" w:rsidRPr="0002512F" w:rsidRDefault="00AA7FB6" w:rsidP="00AA7FB6">
      <w:pPr>
        <w:jc w:val="center"/>
        <w:rPr>
          <w:rFonts w:asciiTheme="minorHAnsi" w:hAnsiTheme="minorHAnsi" w:cstheme="minorHAnsi"/>
          <w:color w:val="231F20"/>
        </w:rPr>
      </w:pPr>
    </w:p>
    <w:p w14:paraId="497DAA63" w14:textId="77777777" w:rsidR="0002512F" w:rsidRDefault="00AA7FB6" w:rsidP="0002512F">
      <w:pPr>
        <w:jc w:val="center"/>
        <w:rPr>
          <w:rFonts w:asciiTheme="minorHAnsi" w:hAnsiTheme="minorHAnsi"/>
          <w:b/>
          <w:bCs/>
          <w:color w:val="231F20"/>
        </w:rPr>
      </w:pPr>
      <w:r w:rsidRPr="0002512F">
        <w:rPr>
          <w:rFonts w:asciiTheme="minorHAnsi" w:hAnsiTheme="minorHAnsi"/>
          <w:b/>
          <w:bCs/>
          <w:color w:val="231F20"/>
        </w:rPr>
        <w:t xml:space="preserve">Abstract </w:t>
      </w:r>
    </w:p>
    <w:p w14:paraId="289408B8" w14:textId="75689DE1" w:rsidR="00AA7FB6" w:rsidRPr="0002512F" w:rsidRDefault="00AA7FB6" w:rsidP="0002512F">
      <w:pPr>
        <w:jc w:val="both"/>
        <w:rPr>
          <w:rFonts w:asciiTheme="minorHAnsi" w:hAnsiTheme="minorHAnsi"/>
          <w:b/>
          <w:bCs/>
          <w:color w:val="231F20"/>
        </w:rPr>
      </w:pPr>
      <w:r w:rsidRPr="0002512F">
        <w:rPr>
          <w:rStyle w:val="Emphasis"/>
          <w:rFonts w:asciiTheme="minorHAnsi" w:hAnsiTheme="minorHAnsi" w:cstheme="minorHAnsi"/>
          <w:iCs w:val="0"/>
          <w:color w:val="231F20"/>
        </w:rPr>
        <w:t xml:space="preserve">Food insecurity and environmental degradation caused by rapid industrialization and climate change represent the biggest challenge to all societies in developed and underdeveloped countries. Despite the huge achievements in food productivity, there are still several million people who continue to suffer from hunger and malnutrition and are endangered by a food security system. Islam has emphasized the wise use of all resources, prevention of pollution, conservation of the environment, and redistribution of wealth for the welfare of all human beings. For example, Waqf had played a great role in agriculture, maintenance of the resources and irrigation scheme, and services of the society in the early Islamic world. This paper seeks to understand the interplay of Islamic law, waqf, sustainable agriculture, and ecological food security. In particular, it aims to identify the extent to which the provisions of Islamic law and waqf-based projects can address environmentally sustainable agricultural systems and develop ecological food security. The paper adopts a qualitative approach, based on in-depth analysis and review of Islamic legal texts, the modern literature on food security, sustainable agriculture, ecological governance, environmental conservation, and the social dimension of the Islamic economic framework. The study found that Islamic law offers great ethical foundations to apply a number of principles regarding the process of sustainable agriculture: stewardship (khilfah), not to do harm (darar), public interest (maslahah), moderation (wasatiyyah), and environmental responsibility. Waqf has the power to support productivity in agricultural systems by funding farmland conservation, irrigated system finance, climate-smart agriculture techniques, and seed bank finance. In addition to farmer training schemes, the community’s agricultural food security networks are also </w:t>
      </w:r>
      <w:r w:rsidRPr="0002512F">
        <w:rPr>
          <w:rStyle w:val="Emphasis"/>
          <w:rFonts w:asciiTheme="minorHAnsi" w:hAnsiTheme="minorHAnsi" w:cstheme="minorHAnsi"/>
          <w:iCs w:val="0"/>
          <w:color w:val="231F20"/>
        </w:rPr>
        <w:lastRenderedPageBreak/>
        <w:t>areas supported by the concept of waqf in agriculture and have the potential to increase the resilience of agriculture sectors by implementing and enhancing ecological sustainability and rural development by incorporating Sharah rules and Waqf’s role. This paper innovates in formulating an integral Sharah and Waqf-based model in sustainable agriculture and ecological food security in Muslim societies as an ethical and equitable solution that marries agriculture with ecology. It is ethically driven and aims to attain a balance between agri</w:t>
      </w:r>
      <w:bookmarkStart w:id="0" w:name="_GoBack"/>
      <w:bookmarkEnd w:id="0"/>
      <w:r w:rsidRPr="0002512F">
        <w:rPr>
          <w:rStyle w:val="Emphasis"/>
          <w:rFonts w:asciiTheme="minorHAnsi" w:hAnsiTheme="minorHAnsi" w:cstheme="minorHAnsi"/>
          <w:iCs w:val="0"/>
          <w:color w:val="231F20"/>
        </w:rPr>
        <w:t>cultural production and conservation practices to ensure food security, social equity, environmental sustainability, and human welfare on a long term basis</w:t>
      </w:r>
      <w:r w:rsidRPr="0002512F">
        <w:rPr>
          <w:rFonts w:asciiTheme="minorHAnsi" w:hAnsiTheme="minorHAnsi" w:cstheme="minorHAnsi"/>
          <w:i/>
          <w:color w:val="231F20"/>
        </w:rPr>
        <w:t>.</w:t>
      </w:r>
    </w:p>
    <w:p w14:paraId="521F44B9" w14:textId="74FE764C" w:rsidR="00AA7FB6" w:rsidRPr="0002512F" w:rsidRDefault="00AA7FB6" w:rsidP="00AA7FB6">
      <w:pPr>
        <w:jc w:val="both"/>
        <w:rPr>
          <w:rFonts w:asciiTheme="minorHAnsi" w:hAnsiTheme="minorHAnsi" w:cstheme="minorHAnsi"/>
          <w:i/>
          <w:color w:val="231F20"/>
        </w:rPr>
      </w:pPr>
      <w:r w:rsidRPr="0002512F">
        <w:rPr>
          <w:rFonts w:asciiTheme="minorHAnsi" w:hAnsiTheme="minorHAnsi" w:cstheme="minorHAnsi"/>
          <w:b/>
          <w:bCs/>
          <w:i/>
          <w:color w:val="231F20"/>
        </w:rPr>
        <w:t>Keywords</w:t>
      </w:r>
      <w:r w:rsidRPr="0002512F">
        <w:rPr>
          <w:rFonts w:asciiTheme="minorHAnsi" w:hAnsiTheme="minorHAnsi" w:cstheme="minorHAnsi"/>
          <w:i/>
          <w:color w:val="231F20"/>
        </w:rPr>
        <w:t>: Islamic Law, Waqf, Sustainable Agriculture, Ecological Food Security, Environmental Sustainability.</w:t>
      </w:r>
    </w:p>
    <w:p w14:paraId="149C4ACC" w14:textId="610D35BF" w:rsidR="00AA7FB6" w:rsidRDefault="00AA7FB6" w:rsidP="00AA7FB6">
      <w:pPr>
        <w:jc w:val="both"/>
        <w:rPr>
          <w:rFonts w:asciiTheme="minorHAnsi" w:hAnsiTheme="minorHAnsi" w:cstheme="minorHAnsi"/>
          <w:i/>
          <w:color w:val="231F20"/>
        </w:rPr>
      </w:pPr>
    </w:p>
    <w:p w14:paraId="52D3CF34" w14:textId="77777777" w:rsidR="0002512F" w:rsidRPr="0002512F" w:rsidRDefault="0002512F" w:rsidP="00AA7FB6">
      <w:pPr>
        <w:jc w:val="both"/>
        <w:rPr>
          <w:rFonts w:asciiTheme="minorHAnsi" w:hAnsiTheme="minorHAnsi" w:cstheme="minorHAnsi"/>
          <w:i/>
          <w:color w:val="231F20"/>
        </w:rPr>
      </w:pPr>
    </w:p>
    <w:p w14:paraId="4AEE2291" w14:textId="336FBD10" w:rsidR="00AA7FB6" w:rsidRPr="0002512F" w:rsidRDefault="00AA7FB6" w:rsidP="0002512F">
      <w:pPr>
        <w:contextualSpacing/>
        <w:jc w:val="both"/>
        <w:outlineLvl w:val="0"/>
        <w:rPr>
          <w:rFonts w:asciiTheme="minorHAnsi" w:hAnsiTheme="minorHAnsi"/>
          <w:b/>
          <w:bCs/>
          <w:kern w:val="36"/>
          <w:lang w:val="en-US"/>
        </w:rPr>
      </w:pPr>
      <w:r w:rsidRPr="0002512F">
        <w:rPr>
          <w:rFonts w:asciiTheme="minorHAnsi" w:hAnsiTheme="minorHAnsi"/>
          <w:b/>
          <w:bCs/>
          <w:kern w:val="36"/>
          <w:lang w:val="en-US"/>
        </w:rPr>
        <w:t>Introduction</w:t>
      </w:r>
    </w:p>
    <w:p w14:paraId="2CB0DFD5"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Food security has become an increasingly complex global development challenge because the availability of food is being threatened not only by inadequate production but also by climate change, environmental degradation, food-price inflation, resource constraints, and weaknesses in agricultural and food systems (Suryani et al. 2024; Rulita et al. 2025). Although global food production has increased substantially, progress toward ending hunger and malnutrition remains insufficient. The </w:t>
      </w:r>
      <w:r w:rsidRPr="0002512F">
        <w:rPr>
          <w:rFonts w:asciiTheme="minorHAnsi" w:hAnsiTheme="minorHAnsi"/>
          <w:i/>
          <w:iCs/>
          <w:lang w:val="en-US"/>
        </w:rPr>
        <w:t>State of Food Security and Nutrition in the World 2025</w:t>
      </w:r>
      <w:r w:rsidRPr="0002512F">
        <w:rPr>
          <w:rFonts w:asciiTheme="minorHAnsi" w:hAnsiTheme="minorHAnsi"/>
          <w:lang w:val="en-US"/>
        </w:rPr>
        <w:t xml:space="preserve"> reports that the world remains off track to achieve Sustainable Development Goal 2, while persistent food-price inflation continues to undermine purchasing power and access to healthy diets, particularly among low-income and vulnerable populations. The report consequently calls for sustained investment in resilient agrifood systems capable of strengthening long-term food security and nutrition (FAO et al., 2025; Muhammad et al. 2024).</w:t>
      </w:r>
    </w:p>
    <w:p w14:paraId="1887A8FA"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The challenge is particularly pronounced where agricultural livelihoods depend heavily on climate-sensitive natural resources. Climate variability, droughts, floods, changing rainfall patterns, land degradation, and declining ecosystem quality directly affect agricultural productivity and the livelihoods of rural populations (Ibrahim et al. 2025). The Food and Agriculture Organization (FAO) notes that climate change threatens agricultural and livestock production and has direct consequences for food security, incomes, and the livelihoods of vulnerable populations. Sustainable food and nutrition security therefore requires more than increasing agricultural output; it requires agricultural systems that can simultaneously maintain productivity, conserve natural resources, withstand climatic shocks, and provide equitable access to food and livelihoods (Adamu et al. 2025; </w:t>
      </w:r>
      <w:r w:rsidRPr="0002512F">
        <w:rPr>
          <w:rFonts w:asciiTheme="minorHAnsi" w:hAnsiTheme="minorHAnsi" w:cstheme="majorBidi"/>
          <w:shd w:val="clear" w:color="auto" w:fill="FFFFFF"/>
        </w:rPr>
        <w:t>Samsul et al. 2026</w:t>
      </w:r>
      <w:r w:rsidRPr="0002512F">
        <w:rPr>
          <w:rFonts w:asciiTheme="minorHAnsi" w:hAnsiTheme="minorHAnsi"/>
          <w:lang w:val="en-US"/>
        </w:rPr>
        <w:t>).</w:t>
      </w:r>
    </w:p>
    <w:p w14:paraId="276A33F2"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This challenge exposes an important limitation in conventional approaches to food security. Agricultural development has often been framed predominantly in terms of productivity, technology, markets, and access to financial capital. These dimensions </w:t>
      </w:r>
      <w:r w:rsidRPr="0002512F">
        <w:rPr>
          <w:rFonts w:asciiTheme="minorHAnsi" w:hAnsiTheme="minorHAnsi"/>
          <w:lang w:val="en-US"/>
        </w:rPr>
        <w:lastRenderedPageBreak/>
        <w:t>are necessary, but they do not by themselves resolve the underlying ecological and social conditions that determine whether food systems remain viable over time. Sustainable food security requires an integrated approach in which productive agricultural assets, environmental resources, financial mechanisms, social institutions, and community capabilities reinforce one another. The financing dimension is particularly important because smallholder farmers and rural communities frequently face limited access to affordable and appropriate capital for land improvement, irrigation, climate adaptation, agricultural inputs, storage, and environmentally sustainable technologies.</w:t>
      </w:r>
    </w:p>
    <w:p w14:paraId="30579C70"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Within this context, Islamic law provides a potentially important normative and institutional foundation for rethinking the relationship between agricultural production, environmental stewardship, and food security. Islamic teachings establish principles concerning responsible resource use, avoidance of harm, public welfare, moderation, justice, and stewardship of the natural environment. The concept of </w:t>
      </w:r>
      <w:r w:rsidRPr="0002512F">
        <w:rPr>
          <w:rFonts w:asciiTheme="minorHAnsi" w:hAnsiTheme="minorHAnsi"/>
          <w:i/>
          <w:iCs/>
          <w:lang w:val="en-US"/>
        </w:rPr>
        <w:t>khilāfah</w:t>
      </w:r>
      <w:r w:rsidRPr="0002512F">
        <w:rPr>
          <w:rFonts w:asciiTheme="minorHAnsi" w:hAnsiTheme="minorHAnsi"/>
          <w:lang w:val="en-US"/>
        </w:rPr>
        <w:t xml:space="preserve"> establishes a conception of human responsibility toward the earth, while </w:t>
      </w:r>
      <w:r w:rsidRPr="0002512F">
        <w:rPr>
          <w:rFonts w:asciiTheme="minorHAnsi" w:hAnsiTheme="minorHAnsi"/>
          <w:i/>
          <w:iCs/>
          <w:lang w:val="en-US"/>
        </w:rPr>
        <w:t>maṣlaḥah</w:t>
      </w:r>
      <w:r w:rsidRPr="0002512F">
        <w:rPr>
          <w:rFonts w:asciiTheme="minorHAnsi" w:hAnsiTheme="minorHAnsi"/>
          <w:lang w:val="en-US"/>
        </w:rPr>
        <w:t xml:space="preserve"> provides a jurisprudential basis for promoting public welfare. The principle of </w:t>
      </w:r>
      <w:r w:rsidRPr="0002512F">
        <w:rPr>
          <w:rFonts w:asciiTheme="minorHAnsi" w:hAnsiTheme="minorHAnsi"/>
          <w:i/>
          <w:iCs/>
          <w:lang w:val="en-US"/>
        </w:rPr>
        <w:t>ḍarar</w:t>
      </w:r>
      <w:r w:rsidRPr="0002512F">
        <w:rPr>
          <w:rFonts w:asciiTheme="minorHAnsi" w:hAnsiTheme="minorHAnsi"/>
          <w:lang w:val="en-US"/>
        </w:rPr>
        <w:t xml:space="preserve"> prohibits the infliction of harm, and </w:t>
      </w:r>
      <w:r w:rsidRPr="0002512F">
        <w:rPr>
          <w:rFonts w:asciiTheme="minorHAnsi" w:hAnsiTheme="minorHAnsi"/>
          <w:i/>
          <w:iCs/>
          <w:lang w:val="en-US"/>
        </w:rPr>
        <w:t>wasatiyyah</w:t>
      </w:r>
      <w:r w:rsidRPr="0002512F">
        <w:rPr>
          <w:rFonts w:asciiTheme="minorHAnsi" w:hAnsiTheme="minorHAnsi"/>
          <w:lang w:val="en-US"/>
        </w:rPr>
        <w:t xml:space="preserve"> emphasises moderation and avoidance of excess. Considered collectively, these principles provide an ethical basis for agricultural practices that seek to satisfy human needs without undermining the ecological resources upon which future generations depend.</w:t>
      </w:r>
    </w:p>
    <w:p w14:paraId="2C194024"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The relevance of Islamic principles to sustainable agriculture is therefore not merely theological. They can provide a normative framework for evaluating how land, water, agricultural resources, and economic activities should be managed. Recent scholarship has begun to translate </w:t>
      </w:r>
      <w:r w:rsidRPr="0002512F">
        <w:rPr>
          <w:rFonts w:asciiTheme="minorHAnsi" w:hAnsiTheme="minorHAnsi"/>
          <w:i/>
          <w:iCs/>
          <w:lang w:val="en-US"/>
        </w:rPr>
        <w:t>khilāfah fī al-arḍ</w:t>
      </w:r>
      <w:r w:rsidRPr="0002512F">
        <w:rPr>
          <w:rFonts w:asciiTheme="minorHAnsi" w:hAnsiTheme="minorHAnsi"/>
          <w:lang w:val="en-US"/>
        </w:rPr>
        <w:t xml:space="preserve"> from a predominantly ethical concept into an operational framework for sustainable agriculture, arguing that agricultural development should integrate environmental responsibility with rural welfare rather than treating ecological conservation as separate from agricultural productivity. This perspective is particularly relevant to food security because the long-term availability of food depends fundamentally on the preservation of productive land, water, biodiversity, and other ecological resources.</w:t>
      </w:r>
    </w:p>
    <w:p w14:paraId="5FBE7B8B"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Among Islamic social-finance institutions, Waqf has particular relevance to this challenge. Historically, Waqf was not restricted to religious buildings or charitable transfers; it supported a wide range of productive and public-benefit activities. Agricultural land, irrigation facilities, water resources, and other productive assets could be endowed and managed for continuing social benefit. This historical experience provides an important basis for considering whether contemporary Waqf can contribute to sustainable agricultural development and food security.</w:t>
      </w:r>
    </w:p>
    <w:p w14:paraId="299674DD"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Contemporary research increasingly supports this possibility. Abduh (2019), for example, identifies Waqf, zakat, </w:t>
      </w:r>
      <w:r w:rsidRPr="0002512F">
        <w:rPr>
          <w:rFonts w:asciiTheme="minorHAnsi" w:hAnsiTheme="minorHAnsi"/>
          <w:i/>
          <w:iCs/>
          <w:lang w:val="en-US"/>
        </w:rPr>
        <w:t>infaq</w:t>
      </w:r>
      <w:r w:rsidRPr="0002512F">
        <w:rPr>
          <w:rFonts w:asciiTheme="minorHAnsi" w:hAnsiTheme="minorHAnsi"/>
          <w:lang w:val="en-US"/>
        </w:rPr>
        <w:t xml:space="preserve">, </w:t>
      </w:r>
      <w:r w:rsidRPr="0002512F">
        <w:rPr>
          <w:rFonts w:asciiTheme="minorHAnsi" w:hAnsiTheme="minorHAnsi"/>
          <w:i/>
          <w:iCs/>
          <w:lang w:val="en-US"/>
        </w:rPr>
        <w:t>iḥyāʾ al-mawāt</w:t>
      </w:r>
      <w:r w:rsidRPr="0002512F">
        <w:rPr>
          <w:rFonts w:asciiTheme="minorHAnsi" w:hAnsiTheme="minorHAnsi"/>
          <w:lang w:val="en-US"/>
        </w:rPr>
        <w:t xml:space="preserve">, and </w:t>
      </w:r>
      <w:r w:rsidRPr="0002512F">
        <w:rPr>
          <w:rFonts w:asciiTheme="minorHAnsi" w:hAnsiTheme="minorHAnsi"/>
          <w:i/>
          <w:iCs/>
          <w:lang w:val="en-US"/>
        </w:rPr>
        <w:t>iqṭāʿ</w:t>
      </w:r>
      <w:r w:rsidRPr="0002512F">
        <w:rPr>
          <w:rFonts w:asciiTheme="minorHAnsi" w:hAnsiTheme="minorHAnsi"/>
          <w:lang w:val="en-US"/>
        </w:rPr>
        <w:t xml:space="preserve"> as Islamic social-finance </w:t>
      </w:r>
      <w:r w:rsidRPr="0002512F">
        <w:rPr>
          <w:rFonts w:asciiTheme="minorHAnsi" w:hAnsiTheme="minorHAnsi"/>
          <w:lang w:val="en-US"/>
        </w:rPr>
        <w:lastRenderedPageBreak/>
        <w:t>and land-development mechanisms capable of contributing to SDG 2, including sustainable agriculture and food security. More recent research has moved from general conceptual discussion toward the specific development of agricultural Waqf. A 2025 study on Waqf-land development identifies agricultural Waqf as a potentially important mechanism for increasing food supply and generating sustained social and environmental benefits, while demonstrating that institutional factors are critical to its successful implementation.</w:t>
      </w:r>
    </w:p>
    <w:p w14:paraId="0C0E154F"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The literature also demonstrates that the mere existence of Waqf assets does not guarantee productive outcomes. Recent comparative research on agricultural Waqf in Indonesia and Türkiye finds that scalability depends substantially on institutional quality, including </w:t>
      </w:r>
      <w:r w:rsidRPr="0002512F">
        <w:rPr>
          <w:rFonts w:asciiTheme="minorHAnsi" w:hAnsiTheme="minorHAnsi"/>
          <w:i/>
          <w:iCs/>
          <w:lang w:val="en-US"/>
        </w:rPr>
        <w:t>nāẓir</w:t>
      </w:r>
      <w:r w:rsidRPr="0002512F">
        <w:rPr>
          <w:rFonts w:asciiTheme="minorHAnsi" w:hAnsiTheme="minorHAnsi"/>
          <w:lang w:val="en-US"/>
        </w:rPr>
        <w:t xml:space="preserve"> professionalism, regulatory coherence, and coordination among state, market, and social-finance actors (Aliyu et al. 2025; </w:t>
      </w:r>
      <w:r w:rsidRPr="0002512F">
        <w:rPr>
          <w:rFonts w:asciiTheme="minorHAnsi" w:hAnsiTheme="minorHAnsi" w:cstheme="majorBidi"/>
        </w:rPr>
        <w:t>MZ Nasrudin et al. 2025</w:t>
      </w:r>
      <w:r w:rsidRPr="0002512F">
        <w:rPr>
          <w:rFonts w:asciiTheme="minorHAnsi" w:hAnsiTheme="minorHAnsi"/>
          <w:lang w:val="en-US"/>
        </w:rPr>
        <w:t>). The study further argues that productive agricultural Waqf requires a financing architecture capable of supporting the full agricultural value chain rather than focusing exclusively on land ownership. This is a significant development in the literature because it shifts attention from Waqf as a static charitable asset toward Waqf as a productive institution capable of supporting sustainable economic activity.</w:t>
      </w:r>
    </w:p>
    <w:p w14:paraId="13543512"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Other recent research has similarly explored innovative Waqf-based mechanisms for sustainable agriculture. Maulida and Rusydiana (2025), for example, propose an Integrated Waqf Environment Model that uses Waqf-based financing to support sustainable and technologically enabled agriculture. Their work highlights the continuing financing gap faced by smallholder communities and proposes Waqf as a mechanism through which agricultural productivity and environmental sustainability can be addressed simultaneously. Research on the critical success factors of agricultural Waqf likewise identifies the importance of effective trusteeship and institutional arrangements in ensuring that endowed agricultural assets generate sustained benefits.</w:t>
      </w:r>
    </w:p>
    <w:p w14:paraId="20849DF3"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The connection between Waqf and food security has also begun to attract more specific attention. Yunita (2020), for example, proposes a Cash Waqf Linked Sukuk model for sustainable food security in Indonesia, demonstrating that Waqf can potentially be connected with government Sukuk financing to support community food-security objectives. More recently, research on the integration of zakat and Waqf conceptualises the two instruments as complementary components of Islamic social finance, with Waqf providing longer-term asset-based support for food production and sustainability while zakat addresses immediate social protection and food-access needs. These studies indicate a growing recognition that Islamic social finance can contribute to food security through both immediate welfare support and longer-term productive investment.</w:t>
      </w:r>
    </w:p>
    <w:p w14:paraId="1AAC45C7"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Despite these developments, important limitations remain in the existing literature. First, much of the Islamic social-finance literature approaches food security primarily from the perspective of poverty reduction, income support, or access to food. </w:t>
      </w:r>
      <w:r w:rsidRPr="0002512F">
        <w:rPr>
          <w:rFonts w:asciiTheme="minorHAnsi" w:hAnsiTheme="minorHAnsi"/>
          <w:lang w:val="en-US"/>
        </w:rPr>
        <w:lastRenderedPageBreak/>
        <w:t xml:space="preserve">While these dimensions are essential, relatively less attention has been given to ecological food security, understood here as food security that is simultaneously dependent upon and protective of the environmental systems supporting agricultural production. Second, studies on agricultural Waqf frequently concentrate on land development, financing, institutional governance, or socioeconomic empowerment without fully integrating these dimensions into an Islamic-law-based ecological framework. Third, literature on Islamic environmental ethics often remains normative, explaining principles such as </w:t>
      </w:r>
      <w:r w:rsidRPr="0002512F">
        <w:rPr>
          <w:rFonts w:asciiTheme="minorHAnsi" w:hAnsiTheme="minorHAnsi"/>
          <w:i/>
          <w:iCs/>
          <w:lang w:val="en-US"/>
        </w:rPr>
        <w:t>khilāfah</w:t>
      </w:r>
      <w:r w:rsidRPr="0002512F">
        <w:rPr>
          <w:rFonts w:asciiTheme="minorHAnsi" w:hAnsiTheme="minorHAnsi"/>
          <w:lang w:val="en-US"/>
        </w:rPr>
        <w:t xml:space="preserve">, </w:t>
      </w:r>
      <w:r w:rsidRPr="0002512F">
        <w:rPr>
          <w:rFonts w:asciiTheme="minorHAnsi" w:hAnsiTheme="minorHAnsi"/>
          <w:i/>
          <w:iCs/>
          <w:lang w:val="en-US"/>
        </w:rPr>
        <w:t>maṣlaḥah</w:t>
      </w:r>
      <w:r w:rsidRPr="0002512F">
        <w:rPr>
          <w:rFonts w:asciiTheme="minorHAnsi" w:hAnsiTheme="minorHAnsi"/>
          <w:lang w:val="en-US"/>
        </w:rPr>
        <w:t xml:space="preserve">, </w:t>
      </w:r>
      <w:r w:rsidRPr="0002512F">
        <w:rPr>
          <w:rFonts w:asciiTheme="minorHAnsi" w:hAnsiTheme="minorHAnsi"/>
          <w:i/>
          <w:iCs/>
          <w:lang w:val="en-US"/>
        </w:rPr>
        <w:t>ḍarar</w:t>
      </w:r>
      <w:r w:rsidRPr="0002512F">
        <w:rPr>
          <w:rFonts w:asciiTheme="minorHAnsi" w:hAnsiTheme="minorHAnsi"/>
          <w:lang w:val="en-US"/>
        </w:rPr>
        <w:t>, and moderation without sufficiently demonstrating how these principles can guide concrete agricultural and Waqf practices.</w:t>
      </w:r>
    </w:p>
    <w:p w14:paraId="5DFD963E"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A further gap concerns the relationship between Islamic legal principles and the operational functions of Waqf. Existing research establishes that Waqf can support agricultural development, but insufficient attention has been paid to how Islamic legal principles can determine the priorities and conditions under which agricultural Waqf should be deployed. For example, the question is not simply whether Waqf can finance agricultural land or irrigation, but whether its deployment can simultaneously promote conservation, prevent environmental harm, maintain the productive capacity of agricultural assets, strengthen rural communities, and protect the interests of future generations. Addressing this question requires connecting Islamic jurisprudential principles with practical agricultural and environmental objectives.</w:t>
      </w:r>
    </w:p>
    <w:p w14:paraId="6479B624"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The literature therefore reveals a fragmented research landscape. Research on food security focuses predominantly on agricultural systems, food access, nutrition, and resilience; research on sustainable agriculture emphasises environmental conservation and climate adaptation; research on Islamic social finance examines Waqf and other instruments as mechanisms for socioeconomic development; and Islamic legal scholarship provides the normative principles governing responsible resource use. What remains insufficiently developed is an integrated framework that brings these strands together to explain how Islamic law and Waqf can jointly support sustainable agriculture and ecological food security.</w:t>
      </w:r>
    </w:p>
    <w:p w14:paraId="2C4D7951"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This gap is particularly important in Muslim societies where Waqf represents an established Islamic institution with potentially significant social and productive assets. Rather than treating Waqf solely as a charitable mechanism, an ecological approach can reposition productive Waqf as a long-term institution for agricultural resilience, environmental conservation, and community food security. Such an approach is consistent with recent evidence that agricultural Waqf can support food production but that its effectiveness depends on governance, institutional capacity, financing structures, and integration into agricultural value chains.</w:t>
      </w:r>
    </w:p>
    <w:p w14:paraId="3333E408"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 xml:space="preserve">Accordingly, this paper investigates the interplay between Islamic law, Waqf, sustainable agriculture, and ecological food security. Consistent with the scope stated in </w:t>
      </w:r>
      <w:r w:rsidRPr="0002512F">
        <w:rPr>
          <w:rFonts w:asciiTheme="minorHAnsi" w:hAnsiTheme="minorHAnsi"/>
          <w:lang w:val="en-US"/>
        </w:rPr>
        <w:lastRenderedPageBreak/>
        <w:t>the study's abstract, it examines the extent to which Islamic legal principles can provide an ethical and normative foundation for sustainable agricultural practices and how Waqf-based initiatives can support agricultural productivity, environmental conservation, and long-term food security.</w:t>
      </w:r>
    </w:p>
    <w:p w14:paraId="68BFC4F2" w14:textId="77777777" w:rsidR="00AA7FB6" w:rsidRPr="0002512F"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Specifically, the paper pursues three objectives: first, to examine the Islamic legal and ethical principles relevant to sustainable agriculture and ecological food security; second, to critically assess the potential contribution of Waqf to agricultural productivity, resource conservation, climate resilience, farmer capacity development, and community food-security networks; and third, to formulate an integrated Shariah- and Waqf-based framework for sustainable agriculture and ecological food security in Muslim societies.</w:t>
      </w:r>
    </w:p>
    <w:p w14:paraId="1FF3610A" w14:textId="2F3046E1" w:rsidR="00AA7FB6" w:rsidRDefault="00AA7FB6" w:rsidP="000432B5">
      <w:pPr>
        <w:spacing w:line="276" w:lineRule="auto"/>
        <w:ind w:firstLine="720"/>
        <w:contextualSpacing/>
        <w:jc w:val="both"/>
        <w:rPr>
          <w:rFonts w:asciiTheme="minorHAnsi" w:hAnsiTheme="minorHAnsi"/>
          <w:lang w:val="en-US"/>
        </w:rPr>
      </w:pPr>
      <w:r w:rsidRPr="0002512F">
        <w:rPr>
          <w:rFonts w:asciiTheme="minorHAnsi" w:hAnsiTheme="minorHAnsi"/>
          <w:lang w:val="en-US"/>
        </w:rPr>
        <w:t>The paper's contribution lies therefore in moving beyond the separate discussion of Islamic environmental ethics, agricultural Waqf, and food security toward an integrated conceptual framework in which agricultural productivity, ecological conservation, social equity, and human welfare are treated as mutually reinforcing objectives. In this framework, Waqf is not simply a source of charitable finance but a potentially enduring institutional mechanism for supporting productive agricultural assets, irrigation, land conservation, climate-smart practices, seed preservation, farmer education, and community food-security systems. The ultimate objective is to demonstrate how Islamic legal principles and Waqf can contribute to a model of food security that is not only sufficient in quantity but also environmentally sustainable, socially equitable, and resilient across generations.</w:t>
      </w:r>
    </w:p>
    <w:p w14:paraId="2693728C" w14:textId="77777777" w:rsidR="00B76790" w:rsidRDefault="00B76790" w:rsidP="00B76790">
      <w:pPr>
        <w:pStyle w:val="Heading2"/>
        <w:numPr>
          <w:ilvl w:val="0"/>
          <w:numId w:val="0"/>
        </w:numPr>
        <w:spacing w:before="0" w:line="276" w:lineRule="auto"/>
        <w:ind w:left="360"/>
        <w:contextualSpacing/>
        <w:rPr>
          <w:szCs w:val="24"/>
        </w:rPr>
      </w:pPr>
    </w:p>
    <w:p w14:paraId="56DE9067" w14:textId="07C4DE5E" w:rsidR="00AA7FB6" w:rsidRPr="0002512F" w:rsidRDefault="00AA7FB6" w:rsidP="00B76790">
      <w:pPr>
        <w:pStyle w:val="Heading2"/>
        <w:numPr>
          <w:ilvl w:val="0"/>
          <w:numId w:val="0"/>
        </w:numPr>
        <w:spacing w:before="0" w:line="276" w:lineRule="auto"/>
        <w:contextualSpacing/>
        <w:rPr>
          <w:szCs w:val="24"/>
        </w:rPr>
      </w:pPr>
      <w:r w:rsidRPr="0002512F">
        <w:rPr>
          <w:szCs w:val="24"/>
        </w:rPr>
        <w:t>Methodology</w:t>
      </w:r>
    </w:p>
    <w:p w14:paraId="33569C1B" w14:textId="371CAB37" w:rsidR="00AA7FB6" w:rsidRPr="0002512F" w:rsidRDefault="00AA7FB6" w:rsidP="000432B5">
      <w:pPr>
        <w:pStyle w:val="Heading3"/>
        <w:spacing w:before="0" w:line="276" w:lineRule="auto"/>
        <w:contextualSpacing/>
        <w:rPr>
          <w:rFonts w:asciiTheme="minorHAnsi" w:hAnsiTheme="minorHAnsi"/>
          <w:b/>
          <w:bCs/>
          <w:i/>
          <w:iCs/>
          <w:color w:val="auto"/>
        </w:rPr>
      </w:pPr>
      <w:r w:rsidRPr="0002512F">
        <w:rPr>
          <w:rFonts w:asciiTheme="minorHAnsi" w:hAnsiTheme="minorHAnsi"/>
          <w:i/>
          <w:iCs/>
          <w:color w:val="auto"/>
        </w:rPr>
        <w:t>Research Design</w:t>
      </w:r>
    </w:p>
    <w:p w14:paraId="1CAF85BD" w14:textId="6EDBD747"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This study adopts a </w:t>
      </w:r>
      <w:r w:rsidRPr="0002512F">
        <w:rPr>
          <w:rStyle w:val="Strong"/>
          <w:rFonts w:asciiTheme="minorHAnsi" w:hAnsiTheme="minorHAnsi" w:cstheme="majorBidi"/>
          <w:b w:val="0"/>
          <w:bCs w:val="0"/>
        </w:rPr>
        <w:t>qualitative, doctrinal, and analytical research design</w:t>
      </w:r>
      <w:r w:rsidRPr="0002512F">
        <w:rPr>
          <w:rFonts w:asciiTheme="minorHAnsi" w:hAnsiTheme="minorHAnsi" w:cstheme="majorBidi"/>
        </w:rPr>
        <w:t xml:space="preserve"> to examine the relationship between Islamic law, Waqf, sustainable agriculture, and ecological food security. This approach is appropriate because the study seeks to interpret Islamic legal and ethical principles and assess their applicability to contemporary agricultural and food-security challenges rather than statistically test causal relationships. The methodology follows the qualitative approach specified in the abstract, which is based on an in-depth analysis and review of Islamic legal texts and relevant contemporary literature</w:t>
      </w:r>
      <w:r w:rsidR="00B76790">
        <w:rPr>
          <w:rFonts w:asciiTheme="minorHAnsi" w:hAnsiTheme="minorHAnsi" w:cstheme="majorBidi"/>
        </w:rPr>
        <w:t>.</w:t>
      </w:r>
    </w:p>
    <w:p w14:paraId="02DEA7C6"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14AA538B" w14:textId="3384F535"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Sources of Data</w:t>
      </w:r>
    </w:p>
    <w:p w14:paraId="6553B198"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study relies primarily on </w:t>
      </w:r>
      <w:r w:rsidRPr="0002512F">
        <w:rPr>
          <w:rStyle w:val="Strong"/>
          <w:rFonts w:asciiTheme="minorHAnsi" w:hAnsiTheme="minorHAnsi" w:cstheme="majorBidi"/>
          <w:b w:val="0"/>
          <w:bCs w:val="0"/>
        </w:rPr>
        <w:t>documentary and secondary sources</w:t>
      </w:r>
      <w:r w:rsidRPr="0002512F">
        <w:rPr>
          <w:rFonts w:asciiTheme="minorHAnsi" w:hAnsiTheme="minorHAnsi" w:cstheme="majorBidi"/>
        </w:rPr>
        <w:t>. These include:</w:t>
      </w:r>
    </w:p>
    <w:p w14:paraId="56D0F39A" w14:textId="77777777" w:rsidR="00AA7FB6" w:rsidRPr="0002512F" w:rsidRDefault="00AA7FB6" w:rsidP="000432B5">
      <w:pPr>
        <w:pStyle w:val="NormalWeb"/>
        <w:numPr>
          <w:ilvl w:val="0"/>
          <w:numId w:val="3"/>
        </w:numPr>
        <w:spacing w:before="0" w:beforeAutospacing="0" w:after="0" w:afterAutospacing="0" w:line="276" w:lineRule="auto"/>
        <w:contextualSpacing/>
        <w:jc w:val="both"/>
        <w:rPr>
          <w:rFonts w:asciiTheme="minorHAnsi" w:hAnsiTheme="minorHAnsi" w:cstheme="majorBidi"/>
        </w:rPr>
      </w:pPr>
      <w:r w:rsidRPr="0002512F">
        <w:rPr>
          <w:rFonts w:asciiTheme="minorHAnsi" w:hAnsiTheme="minorHAnsi" w:cstheme="majorBidi"/>
        </w:rPr>
        <w:t>primary Islamic legal and textual sources relevant to environmental stewardship, resource use, public welfare, and Waqf;</w:t>
      </w:r>
    </w:p>
    <w:p w14:paraId="291E3D8D" w14:textId="77777777" w:rsidR="00AA7FB6" w:rsidRPr="0002512F" w:rsidRDefault="00AA7FB6" w:rsidP="000432B5">
      <w:pPr>
        <w:pStyle w:val="NormalWeb"/>
        <w:numPr>
          <w:ilvl w:val="0"/>
          <w:numId w:val="3"/>
        </w:numPr>
        <w:spacing w:before="0" w:beforeAutospacing="0" w:after="0" w:afterAutospacing="0" w:line="276" w:lineRule="auto"/>
        <w:contextualSpacing/>
        <w:jc w:val="both"/>
        <w:rPr>
          <w:rFonts w:asciiTheme="minorHAnsi" w:hAnsiTheme="minorHAnsi" w:cstheme="majorBidi"/>
        </w:rPr>
      </w:pPr>
      <w:r w:rsidRPr="0002512F">
        <w:rPr>
          <w:rFonts w:asciiTheme="minorHAnsi" w:hAnsiTheme="minorHAnsi" w:cstheme="majorBidi"/>
        </w:rPr>
        <w:t>classical and contemporary Islamic jurisprudential literature;</w:t>
      </w:r>
    </w:p>
    <w:p w14:paraId="082C2590" w14:textId="77777777" w:rsidR="00AA7FB6" w:rsidRPr="0002512F" w:rsidRDefault="00AA7FB6" w:rsidP="000432B5">
      <w:pPr>
        <w:pStyle w:val="NormalWeb"/>
        <w:numPr>
          <w:ilvl w:val="0"/>
          <w:numId w:val="3"/>
        </w:numPr>
        <w:spacing w:before="0" w:beforeAutospacing="0" w:after="0" w:afterAutospacing="0" w:line="276" w:lineRule="auto"/>
        <w:contextualSpacing/>
        <w:jc w:val="both"/>
        <w:rPr>
          <w:rFonts w:asciiTheme="minorHAnsi" w:hAnsiTheme="minorHAnsi" w:cstheme="majorBidi"/>
        </w:rPr>
      </w:pPr>
      <w:r w:rsidRPr="0002512F">
        <w:rPr>
          <w:rFonts w:asciiTheme="minorHAnsi" w:hAnsiTheme="minorHAnsi" w:cstheme="majorBidi"/>
        </w:rPr>
        <w:lastRenderedPageBreak/>
        <w:t>peer-reviewed studies on Waqf and agricultural development;</w:t>
      </w:r>
    </w:p>
    <w:p w14:paraId="20A9C8E6" w14:textId="77777777" w:rsidR="00AA7FB6" w:rsidRPr="0002512F" w:rsidRDefault="00AA7FB6" w:rsidP="000432B5">
      <w:pPr>
        <w:pStyle w:val="NormalWeb"/>
        <w:numPr>
          <w:ilvl w:val="0"/>
          <w:numId w:val="3"/>
        </w:numPr>
        <w:spacing w:before="0" w:beforeAutospacing="0" w:after="0" w:afterAutospacing="0" w:line="276" w:lineRule="auto"/>
        <w:contextualSpacing/>
        <w:jc w:val="both"/>
        <w:rPr>
          <w:rFonts w:asciiTheme="minorHAnsi" w:hAnsiTheme="minorHAnsi" w:cstheme="majorBidi"/>
        </w:rPr>
      </w:pPr>
      <w:r w:rsidRPr="0002512F">
        <w:rPr>
          <w:rFonts w:asciiTheme="minorHAnsi" w:hAnsiTheme="minorHAnsi" w:cstheme="majorBidi"/>
        </w:rPr>
        <w:t>literature on sustainable agriculture, ecological governance, environmental conservation, and food security; and</w:t>
      </w:r>
    </w:p>
    <w:p w14:paraId="2C8CF340" w14:textId="77777777" w:rsidR="00AA7FB6" w:rsidRPr="0002512F" w:rsidRDefault="00AA7FB6" w:rsidP="000432B5">
      <w:pPr>
        <w:pStyle w:val="NormalWeb"/>
        <w:numPr>
          <w:ilvl w:val="0"/>
          <w:numId w:val="3"/>
        </w:numPr>
        <w:spacing w:before="0" w:beforeAutospacing="0" w:after="0" w:afterAutospacing="0" w:line="276" w:lineRule="auto"/>
        <w:contextualSpacing/>
        <w:jc w:val="both"/>
        <w:rPr>
          <w:rFonts w:asciiTheme="minorHAnsi" w:hAnsiTheme="minorHAnsi" w:cstheme="majorBidi"/>
        </w:rPr>
      </w:pPr>
      <w:r w:rsidRPr="0002512F">
        <w:rPr>
          <w:rFonts w:asciiTheme="minorHAnsi" w:hAnsiTheme="minorHAnsi" w:cstheme="majorBidi"/>
        </w:rPr>
        <w:t>relevant institutional and policy publications concerning agricultural sustainability and food-security challenges.</w:t>
      </w:r>
    </w:p>
    <w:p w14:paraId="365CB3F8" w14:textId="32D6F67A"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selection of sources is guided by their direct relevance to the four central dimensions of the study: </w:t>
      </w:r>
      <w:r w:rsidRPr="0002512F">
        <w:rPr>
          <w:rStyle w:val="Strong"/>
          <w:rFonts w:asciiTheme="minorHAnsi" w:hAnsiTheme="minorHAnsi" w:cstheme="majorBidi"/>
          <w:b w:val="0"/>
          <w:bCs w:val="0"/>
        </w:rPr>
        <w:t>Islamic law, Waqf, sustainable agriculture, and ecological food security</w:t>
      </w:r>
      <w:r w:rsidRPr="0002512F">
        <w:rPr>
          <w:rFonts w:asciiTheme="minorHAnsi" w:hAnsiTheme="minorHAnsi" w:cstheme="majorBidi"/>
        </w:rPr>
        <w:t>.</w:t>
      </w:r>
    </w:p>
    <w:p w14:paraId="7BBA6BDA"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1D710325" w14:textId="459878CA"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Data Analysis</w:t>
      </w:r>
    </w:p>
    <w:p w14:paraId="139251F3"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collected materials are analysed through </w:t>
      </w:r>
      <w:r w:rsidRPr="0002512F">
        <w:rPr>
          <w:rStyle w:val="Strong"/>
          <w:rFonts w:asciiTheme="minorHAnsi" w:hAnsiTheme="minorHAnsi" w:cstheme="majorBidi"/>
          <w:b w:val="0"/>
          <w:bCs w:val="0"/>
        </w:rPr>
        <w:t>thematic and doctrinal analysis</w:t>
      </w:r>
      <w:r w:rsidRPr="0002512F">
        <w:rPr>
          <w:rFonts w:asciiTheme="minorHAnsi" w:hAnsiTheme="minorHAnsi" w:cstheme="majorBidi"/>
        </w:rPr>
        <w:t xml:space="preserve">. Islamic legal texts are examined to identify principles that provide normative foundations for sustainable agricultural practices, particularly </w:t>
      </w:r>
      <w:r w:rsidRPr="0002512F">
        <w:rPr>
          <w:rStyle w:val="Strong"/>
          <w:rFonts w:asciiTheme="minorHAnsi" w:hAnsiTheme="minorHAnsi" w:cstheme="majorBidi"/>
          <w:b w:val="0"/>
          <w:bCs w:val="0"/>
        </w:rPr>
        <w:t>khilāfah (stewardship), ḍarar (prevention of harm), maṣlaḥah (public interest), and wasatiyyah (moderation)</w:t>
      </w:r>
      <w:r w:rsidRPr="0002512F">
        <w:rPr>
          <w:rFonts w:asciiTheme="minorHAnsi" w:hAnsiTheme="minorHAnsi" w:cstheme="majorBidi"/>
        </w:rPr>
        <w:t>.</w:t>
      </w:r>
    </w:p>
    <w:p w14:paraId="6F5E90E5" w14:textId="39C8909E"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The contemporary literature is then critically examined to determine how Waqf can be operationalised in agricultural and environmental contexts. Particular attention is given to Waqf-supported farmland conservation, irrigation, climate-smart agricultural practices, seed preservation, farmer training, and community-based food-security initiatives, all of which are identified in the study's conceptual foundation.</w:t>
      </w:r>
    </w:p>
    <w:p w14:paraId="5E60D224"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19E9952F" w14:textId="7EB63670"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Analytical Framework</w:t>
      </w:r>
    </w:p>
    <w:p w14:paraId="310CE672" w14:textId="436A99A0"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analysis proceeds by connecting </w:t>
      </w:r>
      <w:r w:rsidRPr="0002512F">
        <w:rPr>
          <w:rStyle w:val="Strong"/>
          <w:rFonts w:asciiTheme="minorHAnsi" w:hAnsiTheme="minorHAnsi" w:cstheme="majorBidi"/>
          <w:b w:val="0"/>
          <w:bCs w:val="0"/>
        </w:rPr>
        <w:t>Islamic legal principles → Waqf mechanisms → sustainable agricultural practices → ecological food security and human welfare</w:t>
      </w:r>
      <w:r w:rsidRPr="0002512F">
        <w:rPr>
          <w:rFonts w:asciiTheme="minorHAnsi" w:hAnsiTheme="minorHAnsi" w:cstheme="majorBidi"/>
        </w:rPr>
        <w:t>. This framework enables the study to move beyond treating Islamic law and Waqf as separate subjects and instead examine how they can function together as an integrated mechanism for balancing agricultural productivity with environmental conservation and social equity.</w:t>
      </w:r>
    </w:p>
    <w:p w14:paraId="6B947433"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56F169FF" w14:textId="4F5792B3"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Scope and Limitations</w:t>
      </w:r>
    </w:p>
    <w:p w14:paraId="067C3987"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study is </w:t>
      </w:r>
      <w:r w:rsidRPr="0002512F">
        <w:rPr>
          <w:rStyle w:val="Strong"/>
          <w:rFonts w:asciiTheme="minorHAnsi" w:hAnsiTheme="minorHAnsi" w:cstheme="majorBidi"/>
          <w:b w:val="0"/>
          <w:bCs w:val="0"/>
        </w:rPr>
        <w:t>conceptual and qualitative</w:t>
      </w:r>
      <w:r w:rsidRPr="0002512F">
        <w:rPr>
          <w:rFonts w:asciiTheme="minorHAnsi" w:hAnsiTheme="minorHAnsi" w:cstheme="majorBidi"/>
        </w:rPr>
        <w:t xml:space="preserve"> and does not employ primary surveys, experiments, econometric modelling, or project-level quantitative impact assessment. Consequently, its findings establish an analytically grounded framework rather than statistically generalisable evidence. Empirical assessment of the proposed Shariah- and Waqf-based model remains an important direction for subsequent research.</w:t>
      </w:r>
    </w:p>
    <w:p w14:paraId="66B79402" w14:textId="1B18A7EB"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Style w:val="Strong"/>
          <w:rFonts w:asciiTheme="minorHAnsi" w:hAnsiTheme="minorHAnsi" w:cstheme="majorBidi"/>
          <w:b w:val="0"/>
          <w:bCs w:val="0"/>
        </w:rPr>
        <w:t>In methodological terms, the study therefore combines doctrinal analysis of Islamic legal principles with a critical review of contemporary literature to develop an integrated conceptual model for sustainable agriculture and ecological food security.</w:t>
      </w:r>
      <w:r w:rsidRPr="0002512F">
        <w:rPr>
          <w:rFonts w:asciiTheme="minorHAnsi" w:hAnsiTheme="minorHAnsi" w:cstheme="majorBidi"/>
        </w:rPr>
        <w:t xml:space="preserve"> This is closely aligned with the methodology and intended contribution stated in the attached abstract.</w:t>
      </w:r>
    </w:p>
    <w:p w14:paraId="1BEEB206" w14:textId="77777777" w:rsidR="0002512F" w:rsidRPr="0002512F" w:rsidRDefault="0002512F"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2BB5F1C3" w14:textId="7F305534" w:rsidR="00AA7FB6" w:rsidRPr="0002512F" w:rsidRDefault="00AA7FB6" w:rsidP="00B76790">
      <w:pPr>
        <w:pStyle w:val="Heading2"/>
        <w:numPr>
          <w:ilvl w:val="0"/>
          <w:numId w:val="0"/>
        </w:numPr>
        <w:spacing w:before="0" w:line="276" w:lineRule="auto"/>
        <w:contextualSpacing/>
        <w:jc w:val="both"/>
        <w:rPr>
          <w:szCs w:val="24"/>
        </w:rPr>
      </w:pPr>
      <w:r w:rsidRPr="0002512F">
        <w:rPr>
          <w:szCs w:val="24"/>
        </w:rPr>
        <w:t>Results and Discussion</w:t>
      </w:r>
    </w:p>
    <w:p w14:paraId="7E0881EE" w14:textId="3B350416"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 xml:space="preserve"> Islamic Law as a Normative Foundation for Sustainable Agriculture</w:t>
      </w:r>
    </w:p>
    <w:p w14:paraId="276D7B3A"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analysis indicates that Islamic law provides a coherent ethical and normative foundation for linking agricultural production with environmental protection and human welfare. Rather than viewing agricultural development solely through the lens of productivity and economic returns, the Islamic framework emphasises responsible stewardship of natural resources and the prevention of harm. Four principles are particularly significant: </w:t>
      </w:r>
      <w:r w:rsidRPr="0002512F">
        <w:rPr>
          <w:rStyle w:val="Strong"/>
          <w:rFonts w:asciiTheme="minorHAnsi" w:hAnsiTheme="minorHAnsi" w:cstheme="majorBidi"/>
          <w:b w:val="0"/>
          <w:bCs w:val="0"/>
        </w:rPr>
        <w:t>khilāfah (stewardship), ḍarar (prevention of harm), maṣlaḥah (public interest), and wasatiyyah (moderation)</w:t>
      </w:r>
      <w:r w:rsidRPr="0002512F">
        <w:rPr>
          <w:rFonts w:asciiTheme="minorHAnsi" w:hAnsiTheme="minorHAnsi" w:cstheme="majorBidi"/>
        </w:rPr>
        <w:t>. These principles, identified in the study, collectively provide a basis for reconciling agricultural productivity with ecological responsibility.</w:t>
      </w:r>
    </w:p>
    <w:p w14:paraId="2E1D2BF9"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principle of </w:t>
      </w:r>
      <w:r w:rsidRPr="0002512F">
        <w:rPr>
          <w:rStyle w:val="Strong"/>
          <w:rFonts w:asciiTheme="minorHAnsi" w:hAnsiTheme="minorHAnsi" w:cstheme="majorBidi"/>
          <w:b w:val="0"/>
          <w:bCs w:val="0"/>
        </w:rPr>
        <w:t>khilāfah</w:t>
      </w:r>
      <w:r w:rsidRPr="0002512F">
        <w:rPr>
          <w:rFonts w:asciiTheme="minorHAnsi" w:hAnsiTheme="minorHAnsi" w:cstheme="majorBidi"/>
        </w:rPr>
        <w:t xml:space="preserve"> places human beings in a position of responsibility toward the natural environment. Applied to agriculture, this implies that land, water, forests, biodiversity, and other productive resources should be managed as trusts rather than exploited without regard to their long-term consequences. Agricultural productivity is therefore not an end in itself; it should be pursued in a manner that preserves the ecological foundations of future production.</w:t>
      </w:r>
    </w:p>
    <w:p w14:paraId="302CC95F"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Closely related is the principle of </w:t>
      </w:r>
      <w:r w:rsidRPr="0002512F">
        <w:rPr>
          <w:rStyle w:val="Strong"/>
          <w:rFonts w:asciiTheme="minorHAnsi" w:hAnsiTheme="minorHAnsi" w:cstheme="majorBidi"/>
          <w:b w:val="0"/>
          <w:bCs w:val="0"/>
        </w:rPr>
        <w:t>ḍarar</w:t>
      </w:r>
      <w:r w:rsidRPr="0002512F">
        <w:rPr>
          <w:rFonts w:asciiTheme="minorHAnsi" w:hAnsiTheme="minorHAnsi" w:cstheme="majorBidi"/>
        </w:rPr>
        <w:t>, which establishes the importance of preventing harm. In the agricultural context, this principle has implications for practices that degrade soil, contaminate water, destroy biodiversity, or otherwise undermine the capacity of ecosystems to sustain agricultural production. Consequently, environmentally destructive practices cannot be justified solely on the basis of short-term economic gains when they generate substantial long-term harm.</w:t>
      </w:r>
    </w:p>
    <w:p w14:paraId="41361A27" w14:textId="7BEA94BC"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principle of </w:t>
      </w:r>
      <w:r w:rsidRPr="0002512F">
        <w:rPr>
          <w:rStyle w:val="Strong"/>
          <w:rFonts w:asciiTheme="minorHAnsi" w:hAnsiTheme="minorHAnsi" w:cstheme="majorBidi"/>
          <w:b w:val="0"/>
          <w:bCs w:val="0"/>
        </w:rPr>
        <w:t>maṣlaḥah</w:t>
      </w:r>
      <w:r w:rsidRPr="0002512F">
        <w:rPr>
          <w:rFonts w:asciiTheme="minorHAnsi" w:hAnsiTheme="minorHAnsi" w:cstheme="majorBidi"/>
        </w:rPr>
        <w:t xml:space="preserve"> further broadens the analysis by placing public welfare at the centre of resource management. Sustainable agriculture produces benefits beyond individual farmers because it contributes to food availability, rural livelihoods, environmental stability, and community resilience. </w:t>
      </w:r>
      <w:r w:rsidRPr="0002512F">
        <w:rPr>
          <w:rStyle w:val="Strong"/>
          <w:rFonts w:asciiTheme="minorHAnsi" w:hAnsiTheme="minorHAnsi" w:cstheme="majorBidi"/>
          <w:b w:val="0"/>
          <w:bCs w:val="0"/>
        </w:rPr>
        <w:t>Wasatiyyah</w:t>
      </w:r>
      <w:r w:rsidRPr="0002512F">
        <w:rPr>
          <w:rFonts w:asciiTheme="minorHAnsi" w:hAnsiTheme="minorHAnsi" w:cstheme="majorBidi"/>
        </w:rPr>
        <w:t>, meanwhile, reinforces the need for moderation and responsible resource consumption. Taken together, these principles establish a normative framework in which sustainability is understood as an ethical responsibility as well as an economic and environmental objective.</w:t>
      </w:r>
    </w:p>
    <w:p w14:paraId="7158DAD8"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53961F6F" w14:textId="3C02EFCD"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Waqf as a Mechanism for Productive and Sustainable Agriculture</w:t>
      </w:r>
    </w:p>
    <w:p w14:paraId="4140DA4A"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second major finding concerns the potential role of </w:t>
      </w:r>
      <w:r w:rsidRPr="0002512F">
        <w:rPr>
          <w:rStyle w:val="Strong"/>
          <w:rFonts w:asciiTheme="minorHAnsi" w:hAnsiTheme="minorHAnsi" w:cstheme="majorBidi"/>
          <w:b w:val="0"/>
          <w:bCs w:val="0"/>
        </w:rPr>
        <w:t>Waqf as a productive institutional mechanism</w:t>
      </w:r>
      <w:r w:rsidRPr="0002512F">
        <w:rPr>
          <w:rFonts w:asciiTheme="minorHAnsi" w:hAnsiTheme="minorHAnsi" w:cstheme="majorBidi"/>
        </w:rPr>
        <w:t xml:space="preserve"> for sustainable agriculture. The analysis indicates that Waqf should not be understood exclusively as a charitable arrangement. Its productive character allows endowed assets and resources to be directed toward activities that generate continuing economic, social, and environmental benefits.</w:t>
      </w:r>
    </w:p>
    <w:p w14:paraId="7003111C"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lastRenderedPageBreak/>
        <w:t xml:space="preserve">Historically and conceptually, agricultural land, irrigation infrastructure, and other productive resources can constitute important Waqf assets. In the contemporary context, this provides a basis for using Waqf to support </w:t>
      </w:r>
      <w:r w:rsidRPr="0002512F">
        <w:rPr>
          <w:rStyle w:val="Strong"/>
          <w:rFonts w:asciiTheme="minorHAnsi" w:hAnsiTheme="minorHAnsi" w:cstheme="majorBidi"/>
          <w:b w:val="0"/>
          <w:bCs w:val="0"/>
        </w:rPr>
        <w:t>farmland conservation, irrigation systems, climate-smart agricultural techniques, and seed-bank development</w:t>
      </w:r>
      <w:r w:rsidRPr="0002512F">
        <w:rPr>
          <w:rFonts w:asciiTheme="minorHAnsi" w:hAnsiTheme="minorHAnsi" w:cstheme="majorBidi"/>
        </w:rPr>
        <w:t>. These areas are specifically identified in the study as mechanisms through which Waqf can strengthen agricultural productivity while supporting ecological sustainability.</w:t>
      </w:r>
    </w:p>
    <w:p w14:paraId="40B46345" w14:textId="57B65C3F"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This finding is important because agricultural sustainability frequently requires investment whose benefits extend beyond the immediate production cycle. Soil conservation, irrigation infrastructure, seed preservation, and climate adaptation may require substantial initial resources while producing benefits over a considerably longer period. The long-term orientation of Waqf therefore creates a potentially useful institutional fit with sustainable agricultural investment.</w:t>
      </w:r>
    </w:p>
    <w:p w14:paraId="09FDAF63"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635130E5" w14:textId="77A8E062"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Waqf, Farmer Capacity, and Community Food Security</w:t>
      </w:r>
    </w:p>
    <w:p w14:paraId="3CCDB16F"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findings further indicate that the contribution of Waqf should extend beyond physical agricultural assets to </w:t>
      </w:r>
      <w:r w:rsidRPr="0002512F">
        <w:rPr>
          <w:rStyle w:val="Strong"/>
          <w:rFonts w:asciiTheme="minorHAnsi" w:hAnsiTheme="minorHAnsi" w:cstheme="majorBidi"/>
          <w:b w:val="0"/>
          <w:bCs w:val="0"/>
        </w:rPr>
        <w:t>human and institutional capacity development</w:t>
      </w:r>
      <w:r w:rsidRPr="0002512F">
        <w:rPr>
          <w:rFonts w:asciiTheme="minorHAnsi" w:hAnsiTheme="minorHAnsi" w:cstheme="majorBidi"/>
        </w:rPr>
        <w:t>. Farmer training is identified as an important area through which Waqf can support sustainable agriculture.</w:t>
      </w:r>
    </w:p>
    <w:p w14:paraId="3A1CCCE9"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This is significant because sustainable agricultural technologies and environmental practices cannot be successfully implemented through financing alone. Farmers require knowledge and technical capacity to adopt climate-smart practices, manage resources efficiently, conserve agricultural land, and respond to changing environmental conditions. Waqf-supported training can therefore complement investment in physical agricultural infrastructure.</w:t>
      </w:r>
    </w:p>
    <w:p w14:paraId="7DEDDB76" w14:textId="24B51A5F"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analysis also identifies </w:t>
      </w:r>
      <w:r w:rsidRPr="0002512F">
        <w:rPr>
          <w:rStyle w:val="Strong"/>
          <w:rFonts w:asciiTheme="minorHAnsi" w:hAnsiTheme="minorHAnsi" w:cstheme="majorBidi"/>
          <w:b w:val="0"/>
          <w:bCs w:val="0"/>
        </w:rPr>
        <w:t>community agricultural food-security networks</w:t>
      </w:r>
      <w:r w:rsidRPr="0002512F">
        <w:rPr>
          <w:rFonts w:asciiTheme="minorHAnsi" w:hAnsiTheme="minorHAnsi" w:cstheme="majorBidi"/>
        </w:rPr>
        <w:t xml:space="preserve"> as an important area of Waqf intervention. Such networks can connect agricultural production with local food distribution and community welfare, thereby strengthening the social dimension of food security. This suggests that Waqf can potentially operate across several interconnected levels—productive assets, farmer capacity, and community food-security systems—rather than functioning merely as a financing mechanism.</w:t>
      </w:r>
    </w:p>
    <w:p w14:paraId="52C17146"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29092F63" w14:textId="48D8B6E8"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 xml:space="preserve"> Integrating Ecological Sustainability with Food Security</w:t>
      </w:r>
    </w:p>
    <w:p w14:paraId="606BA3A2"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A central finding of the study is that </w:t>
      </w:r>
      <w:r w:rsidRPr="0002512F">
        <w:rPr>
          <w:rStyle w:val="Strong"/>
          <w:rFonts w:asciiTheme="minorHAnsi" w:hAnsiTheme="minorHAnsi" w:cstheme="majorBidi"/>
          <w:b w:val="0"/>
          <w:bCs w:val="0"/>
        </w:rPr>
        <w:t>food security and environmental sustainability should not be treated as competing objectives</w:t>
      </w:r>
      <w:r w:rsidRPr="0002512F">
        <w:rPr>
          <w:rFonts w:asciiTheme="minorHAnsi" w:hAnsiTheme="minorHAnsi" w:cstheme="majorBidi"/>
        </w:rPr>
        <w:t>. The conventional emphasis on increasing agricultural output can become counterproductive when increased production is achieved through practices that degrade the natural resource base upon which future production depends.</w:t>
      </w:r>
    </w:p>
    <w:p w14:paraId="1C71604F"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proposed Islamic framework instead conceptualises ecological sustainability as a prerequisite for durable food security. Farmland conservation protects productive </w:t>
      </w:r>
      <w:r w:rsidRPr="0002512F">
        <w:rPr>
          <w:rFonts w:asciiTheme="minorHAnsi" w:hAnsiTheme="minorHAnsi" w:cstheme="majorBidi"/>
        </w:rPr>
        <w:lastRenderedPageBreak/>
        <w:t>capacity; sustainable irrigation safeguards water resources; climate-smart agriculture improves resilience; and seed preservation contributes to the continuity and diversity of agricultural production. Waqf can potentially support these interconnected activities because its institutional orientation allows resources to be committed to continuing public benefit.</w:t>
      </w:r>
    </w:p>
    <w:p w14:paraId="4488841A" w14:textId="3CEDB887"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This finding reinforces the central argument of the paper: ecological food security should be understood not simply as having sufficient food today, but as maintaining the </w:t>
      </w:r>
      <w:r w:rsidRPr="0002512F">
        <w:rPr>
          <w:rStyle w:val="Strong"/>
          <w:rFonts w:asciiTheme="minorHAnsi" w:hAnsiTheme="minorHAnsi" w:cstheme="majorBidi"/>
          <w:b w:val="0"/>
          <w:bCs w:val="0"/>
        </w:rPr>
        <w:t>environmental, agricultural, social, and institutional conditions necessary to produce and access food over the long term</w:t>
      </w:r>
      <w:r w:rsidRPr="0002512F">
        <w:rPr>
          <w:rFonts w:asciiTheme="minorHAnsi" w:hAnsiTheme="minorHAnsi" w:cstheme="majorBidi"/>
        </w:rPr>
        <w:t>.</w:t>
      </w:r>
    </w:p>
    <w:p w14:paraId="06CCE026"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4440A546" w14:textId="77647C58"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Toward an Integrated Shariah–Waqf Model</w:t>
      </w:r>
    </w:p>
    <w:p w14:paraId="7F11415F"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findings ultimately support the development of an </w:t>
      </w:r>
      <w:r w:rsidRPr="0002512F">
        <w:rPr>
          <w:rStyle w:val="Strong"/>
          <w:rFonts w:asciiTheme="minorHAnsi" w:hAnsiTheme="minorHAnsi" w:cstheme="majorBidi"/>
          <w:b w:val="0"/>
          <w:bCs w:val="0"/>
        </w:rPr>
        <w:t>integrated Shariah- and Waqf-based model</w:t>
      </w:r>
      <w:r w:rsidRPr="0002512F">
        <w:rPr>
          <w:rFonts w:asciiTheme="minorHAnsi" w:hAnsiTheme="minorHAnsi" w:cstheme="majorBidi"/>
        </w:rPr>
        <w:t xml:space="preserve"> for sustainable agriculture and ecological food security. The model brings together four mutually reinforcing components:</w:t>
      </w:r>
    </w:p>
    <w:p w14:paraId="5405DCA3" w14:textId="77777777" w:rsidR="00AA7FB6" w:rsidRPr="0002512F" w:rsidRDefault="00AA7FB6" w:rsidP="000432B5">
      <w:pPr>
        <w:pStyle w:val="NormalWeb"/>
        <w:spacing w:before="0" w:beforeAutospacing="0" w:after="0" w:afterAutospacing="0" w:line="276" w:lineRule="auto"/>
        <w:contextualSpacing/>
        <w:jc w:val="both"/>
        <w:rPr>
          <w:rFonts w:asciiTheme="minorHAnsi" w:hAnsiTheme="minorHAnsi" w:cstheme="majorBidi"/>
        </w:rPr>
      </w:pPr>
      <w:r w:rsidRPr="0002512F">
        <w:rPr>
          <w:rStyle w:val="Strong"/>
          <w:rFonts w:asciiTheme="minorHAnsi" w:hAnsiTheme="minorHAnsi" w:cstheme="majorBidi"/>
          <w:b w:val="0"/>
          <w:bCs w:val="0"/>
        </w:rPr>
        <w:t>Islamic legal principles → Waqf-supported agricultural investment → ecological and social sustainability → long-term food security and human welfare.</w:t>
      </w:r>
    </w:p>
    <w:p w14:paraId="7FEE2E41"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The first component provides the ethical and legal direction. The second translates these principles into practical institutional mechanisms. The third ensures that agricultural development protects environmental resources while strengthening rural communities. The fourth represents the ultimate outcome: resilient food systems capable of supporting human welfare across generations.</w:t>
      </w:r>
    </w:p>
    <w:p w14:paraId="6F717A08" w14:textId="65033606"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The significance of this integrated approach lies in its attempt to overcome the fragmentation evident in the existing literature. Islamic environmental principles are often discussed normatively, while Waqf research frequently concentrates on institutional or socioeconomic dimensions. Sustainable-agriculture research, meanwhile, tends to emphasise ecological and technical considerations. The framework proposed here connects these dimensions rather than treating them independently.</w:t>
      </w:r>
    </w:p>
    <w:p w14:paraId="473C8056" w14:textId="77777777" w:rsidR="00B76790" w:rsidRPr="0002512F" w:rsidRDefault="00B76790"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6F638003" w14:textId="295542A7" w:rsidR="00AA7FB6" w:rsidRPr="0002512F" w:rsidRDefault="00AA7FB6" w:rsidP="000432B5">
      <w:pPr>
        <w:pStyle w:val="Heading3"/>
        <w:spacing w:before="0" w:line="276" w:lineRule="auto"/>
        <w:contextualSpacing/>
        <w:jc w:val="both"/>
        <w:rPr>
          <w:rFonts w:asciiTheme="minorHAnsi" w:hAnsiTheme="minorHAnsi"/>
          <w:b/>
          <w:bCs/>
          <w:i/>
          <w:iCs/>
          <w:color w:val="auto"/>
        </w:rPr>
      </w:pPr>
      <w:r w:rsidRPr="0002512F">
        <w:rPr>
          <w:rFonts w:asciiTheme="minorHAnsi" w:hAnsiTheme="minorHAnsi"/>
          <w:i/>
          <w:iCs/>
          <w:color w:val="auto"/>
        </w:rPr>
        <w:t>Discussion of the Findings in Relation to the Research Gap</w:t>
      </w:r>
    </w:p>
    <w:p w14:paraId="5732DDB6"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findings address the principal gap identified in the literature by demonstrating conceptually how </w:t>
      </w:r>
      <w:r w:rsidRPr="0002512F">
        <w:rPr>
          <w:rStyle w:val="Strong"/>
          <w:rFonts w:asciiTheme="minorHAnsi" w:hAnsiTheme="minorHAnsi" w:cstheme="majorBidi"/>
          <w:b w:val="0"/>
          <w:bCs w:val="0"/>
        </w:rPr>
        <w:t>Islamic legal principles and Waqf can be connected to the ecological dimensions of food security</w:t>
      </w:r>
      <w:r w:rsidRPr="0002512F">
        <w:rPr>
          <w:rFonts w:asciiTheme="minorHAnsi" w:hAnsiTheme="minorHAnsi" w:cstheme="majorBidi"/>
        </w:rPr>
        <w:t>. The contribution is therefore broader than demonstrating that Waqf can finance agriculture. The study shows that Waqf can be conceptually situated within an Islamic sustainability framework in which agricultural productivity, environmental conservation, social equity, and human welfare are mutually dependent objectives.</w:t>
      </w:r>
    </w:p>
    <w:p w14:paraId="55707B3D"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At the same time, the findings should be interpreted within the methodological limits of the study. Because the research is qualitative and based on Islamic legal texts and secondary literature, it demonstrates the </w:t>
      </w:r>
      <w:r w:rsidRPr="0002512F">
        <w:rPr>
          <w:rStyle w:val="Strong"/>
          <w:rFonts w:asciiTheme="minorHAnsi" w:hAnsiTheme="minorHAnsi" w:cstheme="majorBidi"/>
          <w:b w:val="0"/>
          <w:bCs w:val="0"/>
        </w:rPr>
        <w:t>conceptual and normative potential</w:t>
      </w:r>
      <w:r w:rsidRPr="0002512F">
        <w:rPr>
          <w:rFonts w:asciiTheme="minorHAnsi" w:hAnsiTheme="minorHAnsi" w:cstheme="majorBidi"/>
        </w:rPr>
        <w:t xml:space="preserve"> of the </w:t>
      </w:r>
      <w:r w:rsidRPr="0002512F">
        <w:rPr>
          <w:rFonts w:asciiTheme="minorHAnsi" w:hAnsiTheme="minorHAnsi" w:cstheme="majorBidi"/>
        </w:rPr>
        <w:lastRenderedPageBreak/>
        <w:t>proposed framework rather than providing quantitative evidence of its effectiveness. Questions concerning the financial viability of specific Waqf projects, the measurable environmental impact of particular agricultural interventions, institutional readiness, and the scalability of the proposed model require empirical investigation.</w:t>
      </w:r>
    </w:p>
    <w:p w14:paraId="5734B11F" w14:textId="093CDE84"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Overall, the findings suggest that Islamic law and Waqf can provide complementary foundations for a more holistic approach to sustainable agriculture and ecological food security. Islamic law supplies the </w:t>
      </w:r>
      <w:r w:rsidRPr="0002512F">
        <w:rPr>
          <w:rStyle w:val="Strong"/>
          <w:rFonts w:asciiTheme="minorHAnsi" w:hAnsiTheme="minorHAnsi" w:cstheme="majorBidi"/>
          <w:b w:val="0"/>
          <w:bCs w:val="0"/>
        </w:rPr>
        <w:t>ethical and normative principles</w:t>
      </w:r>
      <w:r w:rsidRPr="0002512F">
        <w:rPr>
          <w:rFonts w:asciiTheme="minorHAnsi" w:hAnsiTheme="minorHAnsi" w:cstheme="majorBidi"/>
        </w:rPr>
        <w:t xml:space="preserve">, while Waqf provides a potential </w:t>
      </w:r>
      <w:r w:rsidRPr="0002512F">
        <w:rPr>
          <w:rStyle w:val="Strong"/>
          <w:rFonts w:asciiTheme="minorHAnsi" w:hAnsiTheme="minorHAnsi" w:cstheme="majorBidi"/>
          <w:b w:val="0"/>
          <w:bCs w:val="0"/>
        </w:rPr>
        <w:t>institutional and asset-based mechanism</w:t>
      </w:r>
      <w:r w:rsidRPr="0002512F">
        <w:rPr>
          <w:rFonts w:asciiTheme="minorHAnsi" w:hAnsiTheme="minorHAnsi" w:cstheme="majorBidi"/>
        </w:rPr>
        <w:t xml:space="preserve"> for translating those principles into practical interventions. Their integration can therefore support a development model that seeks to increase agricultural productivity without sacrificing environmental integrity, social equity, or the welfare of future generations.</w:t>
      </w:r>
    </w:p>
    <w:p w14:paraId="7F312300" w14:textId="77777777" w:rsidR="0002512F" w:rsidRPr="0002512F" w:rsidRDefault="0002512F"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1B7BC390" w14:textId="7313A4F7" w:rsidR="00AA7FB6" w:rsidRPr="0002512F" w:rsidRDefault="00AA7FB6" w:rsidP="00B76790">
      <w:pPr>
        <w:pStyle w:val="Heading2"/>
        <w:numPr>
          <w:ilvl w:val="0"/>
          <w:numId w:val="0"/>
        </w:numPr>
        <w:spacing w:before="0" w:line="276" w:lineRule="auto"/>
        <w:ind w:left="66"/>
        <w:contextualSpacing/>
        <w:jc w:val="both"/>
        <w:rPr>
          <w:szCs w:val="24"/>
        </w:rPr>
      </w:pPr>
      <w:r w:rsidRPr="0002512F">
        <w:rPr>
          <w:szCs w:val="24"/>
        </w:rPr>
        <w:t xml:space="preserve">Conclusion </w:t>
      </w:r>
    </w:p>
    <w:p w14:paraId="760A21DB"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This study examined the interplay between </w:t>
      </w:r>
      <w:r w:rsidRPr="0002512F">
        <w:rPr>
          <w:rStyle w:val="Strong"/>
          <w:rFonts w:asciiTheme="minorHAnsi" w:hAnsiTheme="minorHAnsi" w:cstheme="majorBidi"/>
          <w:b w:val="0"/>
          <w:bCs w:val="0"/>
        </w:rPr>
        <w:t>Islamic law, Waqf, sustainable agriculture, and ecological food security</w:t>
      </w:r>
      <w:r w:rsidRPr="0002512F">
        <w:rPr>
          <w:rFonts w:asciiTheme="minorHAnsi" w:hAnsiTheme="minorHAnsi" w:cstheme="majorBidi"/>
        </w:rPr>
        <w:t xml:space="preserve"> through qualitative analysis of Islamic legal principles and relevant contemporary literature. The findings demonstrate that Islamic law provides a strong ethical foundation for reconciling agricultural production with environmental conservation and human welfare. In particular, the principles of </w:t>
      </w:r>
      <w:r w:rsidRPr="0002512F">
        <w:rPr>
          <w:rStyle w:val="Strong"/>
          <w:rFonts w:asciiTheme="minorHAnsi" w:hAnsiTheme="minorHAnsi" w:cstheme="majorBidi"/>
          <w:b w:val="0"/>
          <w:bCs w:val="0"/>
        </w:rPr>
        <w:t>khilāfah (stewardship), ḍarar (prevention of harm), maṣlaḥah (public interest), and wasatiyyah (moderation)</w:t>
      </w:r>
      <w:r w:rsidRPr="0002512F">
        <w:rPr>
          <w:rFonts w:asciiTheme="minorHAnsi" w:hAnsiTheme="minorHAnsi" w:cstheme="majorBidi"/>
        </w:rPr>
        <w:t xml:space="preserve"> provide complementary guidance for the responsible management of agricultural and environmental resources.</w:t>
      </w:r>
    </w:p>
    <w:p w14:paraId="7DC1D7C0"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The study further finds that </w:t>
      </w:r>
      <w:r w:rsidRPr="0002512F">
        <w:rPr>
          <w:rStyle w:val="Strong"/>
          <w:rFonts w:asciiTheme="minorHAnsi" w:hAnsiTheme="minorHAnsi" w:cstheme="majorBidi"/>
          <w:b w:val="0"/>
          <w:bCs w:val="0"/>
        </w:rPr>
        <w:t>Waqf has significant potential as a productive institutional mechanism for sustainable agriculture and food security</w:t>
      </w:r>
      <w:r w:rsidRPr="0002512F">
        <w:rPr>
          <w:rFonts w:asciiTheme="minorHAnsi" w:hAnsiTheme="minorHAnsi" w:cstheme="majorBidi"/>
        </w:rPr>
        <w:t>. Its application can extend beyond conventional charitable activities to support farmland conservation, irrigation systems, climate-smart agricultural practices, seed banks, farmer training, and community-based agricultural food-security networks. Such applications can contribute simultaneously to agricultural productivity, environmental sustainability, rural development, and community resilience.</w:t>
      </w:r>
    </w:p>
    <w:p w14:paraId="107ED112"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The central conclusion is therefore that sustainable food security should not be understood simply as increasing food production. Long-term food security depends on protecting the ecological resources, agricultural systems, and social institutions that make continuous food production possible. The integration of Islamic legal principles with productive Waqf provides a potentially distinctive framework for achieving this balance.</w:t>
      </w:r>
    </w:p>
    <w:p w14:paraId="6C275DCD"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Accordingly, the study proposes an </w:t>
      </w:r>
      <w:r w:rsidRPr="0002512F">
        <w:rPr>
          <w:rStyle w:val="Strong"/>
          <w:rFonts w:asciiTheme="minorHAnsi" w:hAnsiTheme="minorHAnsi" w:cstheme="majorBidi"/>
          <w:b w:val="0"/>
          <w:bCs w:val="0"/>
        </w:rPr>
        <w:t>integrated Shariah- and Waqf-based model</w:t>
      </w:r>
      <w:r w:rsidRPr="0002512F">
        <w:rPr>
          <w:rFonts w:asciiTheme="minorHAnsi" w:hAnsiTheme="minorHAnsi" w:cstheme="majorBidi"/>
        </w:rPr>
        <w:t xml:space="preserve"> in which ethical principles guide resource management, Waqf supports productive and environmentally responsible agricultural activities, and these interventions collectively contribute to ecological sustainability, social equity, and long-term human welfare.</w:t>
      </w:r>
    </w:p>
    <w:p w14:paraId="3D467F81"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lastRenderedPageBreak/>
        <w:t xml:space="preserve">However, because the study is qualitative and conceptual, the proposed model represents an </w:t>
      </w:r>
      <w:r w:rsidRPr="0002512F">
        <w:rPr>
          <w:rStyle w:val="Strong"/>
          <w:rFonts w:asciiTheme="minorHAnsi" w:hAnsiTheme="minorHAnsi" w:cstheme="majorBidi"/>
          <w:b w:val="0"/>
          <w:bCs w:val="0"/>
        </w:rPr>
        <w:t>analytically grounded framework rather than an empirically validated intervention</w:t>
      </w:r>
      <w:r w:rsidRPr="0002512F">
        <w:rPr>
          <w:rFonts w:asciiTheme="minorHAnsi" w:hAnsiTheme="minorHAnsi" w:cstheme="majorBidi"/>
        </w:rPr>
        <w:t>. Its practical effectiveness will depend on appropriate Waqf governance, institutional capacity, financing arrangements, farmer participation, regulatory support, and measurable environmental and agricultural outcomes. Empirical testing of these dimensions is therefore necessary.</w:t>
      </w:r>
    </w:p>
    <w:p w14:paraId="75A814C6" w14:textId="77777777" w:rsidR="00B76790" w:rsidRDefault="00B76790" w:rsidP="000432B5">
      <w:pPr>
        <w:pStyle w:val="Heading3"/>
        <w:spacing w:before="0" w:line="276" w:lineRule="auto"/>
        <w:contextualSpacing/>
        <w:jc w:val="both"/>
        <w:rPr>
          <w:rFonts w:asciiTheme="minorHAnsi" w:hAnsiTheme="minorHAnsi"/>
          <w:color w:val="auto"/>
        </w:rPr>
      </w:pPr>
    </w:p>
    <w:p w14:paraId="54963F6B" w14:textId="77182DF5" w:rsidR="00AA7FB6" w:rsidRPr="00B76790" w:rsidRDefault="00AA7FB6" w:rsidP="000432B5">
      <w:pPr>
        <w:pStyle w:val="Heading3"/>
        <w:spacing w:before="0" w:line="276" w:lineRule="auto"/>
        <w:contextualSpacing/>
        <w:jc w:val="both"/>
        <w:rPr>
          <w:rFonts w:asciiTheme="minorHAnsi" w:hAnsiTheme="minorHAnsi"/>
          <w:b/>
          <w:bCs/>
          <w:color w:val="auto"/>
        </w:rPr>
      </w:pPr>
      <w:r w:rsidRPr="00B76790">
        <w:rPr>
          <w:rFonts w:asciiTheme="minorHAnsi" w:hAnsiTheme="minorHAnsi"/>
          <w:b/>
          <w:bCs/>
          <w:color w:val="auto"/>
        </w:rPr>
        <w:t>Recommendations</w:t>
      </w:r>
    </w:p>
    <w:p w14:paraId="230BD79F" w14:textId="77777777" w:rsidR="00AA7FB6" w:rsidRPr="0002512F"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Based on the findings, the study makes the following </w:t>
      </w:r>
      <w:r w:rsidRPr="0002512F">
        <w:rPr>
          <w:rStyle w:val="Strong"/>
          <w:rFonts w:asciiTheme="minorHAnsi" w:hAnsiTheme="minorHAnsi" w:cstheme="majorBidi"/>
          <w:b w:val="0"/>
          <w:bCs w:val="0"/>
        </w:rPr>
        <w:t>five consolidated recommendations</w:t>
      </w:r>
      <w:r w:rsidRPr="0002512F">
        <w:rPr>
          <w:rFonts w:asciiTheme="minorHAnsi" w:hAnsiTheme="minorHAnsi" w:cstheme="majorBidi"/>
        </w:rPr>
        <w:t>:</w:t>
      </w:r>
    </w:p>
    <w:p w14:paraId="185BA9E2" w14:textId="77777777" w:rsidR="00AA7FB6" w:rsidRPr="0002512F" w:rsidRDefault="00AA7FB6" w:rsidP="000432B5">
      <w:pPr>
        <w:pStyle w:val="NormalWeb"/>
        <w:numPr>
          <w:ilvl w:val="0"/>
          <w:numId w:val="4"/>
        </w:numPr>
        <w:spacing w:before="0" w:beforeAutospacing="0" w:after="0" w:afterAutospacing="0" w:line="276" w:lineRule="auto"/>
        <w:contextualSpacing/>
        <w:jc w:val="both"/>
        <w:rPr>
          <w:rFonts w:asciiTheme="minorHAnsi" w:hAnsiTheme="minorHAnsi" w:cstheme="majorBidi"/>
        </w:rPr>
      </w:pPr>
      <w:r w:rsidRPr="0002512F">
        <w:rPr>
          <w:rStyle w:val="Strong"/>
          <w:rFonts w:asciiTheme="minorHAnsi" w:hAnsiTheme="minorHAnsi" w:cstheme="majorBidi"/>
          <w:b w:val="0"/>
          <w:bCs w:val="0"/>
        </w:rPr>
        <w:t>Strengthen Shariah, legal, and Waqf governance frameworks:</w:t>
      </w:r>
      <w:r w:rsidRPr="0002512F">
        <w:rPr>
          <w:rFonts w:asciiTheme="minorHAnsi" w:hAnsiTheme="minorHAnsi" w:cstheme="majorBidi"/>
        </w:rPr>
        <w:t xml:space="preserve"> Governments, Waqf authorities, and relevant Islamic institutions should establish clear frameworks for productive agricultural Waqf, including appropriate asset management, Shariah compliance, accountability, transparency, and professional trusteeship. This would provide the institutional foundation necessary for Waqf to contribute effectively to sustainable agriculture.</w:t>
      </w:r>
    </w:p>
    <w:p w14:paraId="0F9102A5" w14:textId="77777777" w:rsidR="00AA7FB6" w:rsidRPr="0002512F" w:rsidRDefault="00AA7FB6" w:rsidP="000432B5">
      <w:pPr>
        <w:pStyle w:val="NormalWeb"/>
        <w:numPr>
          <w:ilvl w:val="0"/>
          <w:numId w:val="4"/>
        </w:numPr>
        <w:spacing w:before="0" w:beforeAutospacing="0" w:after="0" w:afterAutospacing="0" w:line="276" w:lineRule="auto"/>
        <w:contextualSpacing/>
        <w:jc w:val="both"/>
        <w:rPr>
          <w:rFonts w:asciiTheme="minorHAnsi" w:hAnsiTheme="minorHAnsi" w:cstheme="majorBidi"/>
        </w:rPr>
      </w:pPr>
      <w:r w:rsidRPr="0002512F">
        <w:rPr>
          <w:rStyle w:val="Strong"/>
          <w:rFonts w:asciiTheme="minorHAnsi" w:hAnsiTheme="minorHAnsi" w:cstheme="majorBidi"/>
          <w:b w:val="0"/>
          <w:bCs w:val="0"/>
        </w:rPr>
        <w:t xml:space="preserve">Prioritise environmentally sustainable agricultural investment: </w:t>
      </w:r>
      <w:r w:rsidRPr="0002512F">
        <w:rPr>
          <w:rFonts w:asciiTheme="minorHAnsi" w:hAnsiTheme="minorHAnsi" w:cstheme="majorBidi"/>
        </w:rPr>
        <w:t>Waqf institutions should direct productive resources toward farmland conservation, sustainable irrigation, climate-smart agriculture, seed preservation, and other environmentally responsible agricultural activities. Priority should be given to projects that simultaneously improve agricultural productivity and protect the natural resource base.</w:t>
      </w:r>
    </w:p>
    <w:p w14:paraId="491F289E" w14:textId="77777777" w:rsidR="00AA7FB6" w:rsidRPr="0002512F" w:rsidRDefault="00AA7FB6" w:rsidP="000432B5">
      <w:pPr>
        <w:pStyle w:val="NormalWeb"/>
        <w:numPr>
          <w:ilvl w:val="0"/>
          <w:numId w:val="4"/>
        </w:numPr>
        <w:spacing w:before="0" w:beforeAutospacing="0" w:after="0" w:afterAutospacing="0" w:line="276" w:lineRule="auto"/>
        <w:contextualSpacing/>
        <w:jc w:val="both"/>
        <w:rPr>
          <w:rFonts w:asciiTheme="minorHAnsi" w:hAnsiTheme="minorHAnsi" w:cstheme="majorBidi"/>
        </w:rPr>
      </w:pPr>
      <w:r w:rsidRPr="0002512F">
        <w:rPr>
          <w:rStyle w:val="Strong"/>
          <w:rFonts w:asciiTheme="minorHAnsi" w:hAnsiTheme="minorHAnsi" w:cstheme="majorBidi"/>
          <w:b w:val="0"/>
          <w:bCs w:val="0"/>
        </w:rPr>
        <w:t xml:space="preserve">Strengthen farmer and community capacity: </w:t>
      </w:r>
      <w:r w:rsidRPr="0002512F">
        <w:rPr>
          <w:rFonts w:asciiTheme="minorHAnsi" w:hAnsiTheme="minorHAnsi" w:cstheme="majorBidi"/>
        </w:rPr>
        <w:t>Waqf-based initiatives should incorporate farmer training, technical knowledge, community participation, and local food-security networks. This would ensure that Waqf investment generates not only physical agricultural assets but also the human and institutional capabilities required for long-term resilience.</w:t>
      </w:r>
    </w:p>
    <w:p w14:paraId="4B660379" w14:textId="77777777" w:rsidR="00AA7FB6" w:rsidRPr="0002512F" w:rsidRDefault="00AA7FB6" w:rsidP="000432B5">
      <w:pPr>
        <w:pStyle w:val="NormalWeb"/>
        <w:numPr>
          <w:ilvl w:val="0"/>
          <w:numId w:val="4"/>
        </w:numPr>
        <w:spacing w:before="0" w:beforeAutospacing="0" w:after="0" w:afterAutospacing="0" w:line="276" w:lineRule="auto"/>
        <w:contextualSpacing/>
        <w:jc w:val="both"/>
        <w:rPr>
          <w:rFonts w:asciiTheme="minorHAnsi" w:hAnsiTheme="minorHAnsi" w:cstheme="majorBidi"/>
        </w:rPr>
      </w:pPr>
      <w:r w:rsidRPr="0002512F">
        <w:rPr>
          <w:rStyle w:val="Strong"/>
          <w:rFonts w:asciiTheme="minorHAnsi" w:hAnsiTheme="minorHAnsi" w:cstheme="majorBidi"/>
          <w:b w:val="0"/>
          <w:bCs w:val="0"/>
        </w:rPr>
        <w:t xml:space="preserve">Develop integrated agricultural and food-security programmes: </w:t>
      </w:r>
      <w:r w:rsidRPr="0002512F">
        <w:rPr>
          <w:rFonts w:asciiTheme="minorHAnsi" w:hAnsiTheme="minorHAnsi" w:cstheme="majorBidi"/>
        </w:rPr>
        <w:t>Governments, Waqf institutions, Islamic financial organisations, agricultural agencies, and community organisations should collaborate to develop integrated programmes linking productive Waqf with agricultural production, environmental conservation, food distribution, and rural development. Such collaboration can enhance the scale and sustainability of Waqf-based food-security interventions.</w:t>
      </w:r>
    </w:p>
    <w:p w14:paraId="23A01D23" w14:textId="77777777" w:rsidR="00AA7FB6" w:rsidRPr="0002512F" w:rsidRDefault="00AA7FB6" w:rsidP="000432B5">
      <w:pPr>
        <w:pStyle w:val="NormalWeb"/>
        <w:numPr>
          <w:ilvl w:val="0"/>
          <w:numId w:val="4"/>
        </w:numPr>
        <w:spacing w:before="0" w:beforeAutospacing="0" w:after="0" w:afterAutospacing="0" w:line="276" w:lineRule="auto"/>
        <w:contextualSpacing/>
        <w:jc w:val="both"/>
        <w:rPr>
          <w:rFonts w:asciiTheme="minorHAnsi" w:hAnsiTheme="minorHAnsi" w:cstheme="majorBidi"/>
        </w:rPr>
      </w:pPr>
      <w:r w:rsidRPr="0002512F">
        <w:rPr>
          <w:rStyle w:val="Strong"/>
          <w:rFonts w:asciiTheme="minorHAnsi" w:hAnsiTheme="minorHAnsi" w:cstheme="majorBidi"/>
          <w:b w:val="0"/>
          <w:bCs w:val="0"/>
        </w:rPr>
        <w:t xml:space="preserve">Undertake empirical and comparative research: </w:t>
      </w:r>
      <w:r w:rsidRPr="0002512F">
        <w:rPr>
          <w:rFonts w:asciiTheme="minorHAnsi" w:hAnsiTheme="minorHAnsi" w:cstheme="majorBidi"/>
        </w:rPr>
        <w:t xml:space="preserve">Future studies should test the proposed model through case studies, field research, stakeholder interviews, and quantitative assessment of agricultural, environmental, and socioeconomic outcomes. Particular attention should be given to the financial sustainability of agricultural Waqf, institutional readiness, farmer adoption of sustainable </w:t>
      </w:r>
      <w:r w:rsidRPr="0002512F">
        <w:rPr>
          <w:rFonts w:asciiTheme="minorHAnsi" w:hAnsiTheme="minorHAnsi" w:cstheme="majorBidi"/>
        </w:rPr>
        <w:lastRenderedPageBreak/>
        <w:t>practices, environmental impact, and the model's scalability across different Muslim societies.</w:t>
      </w:r>
    </w:p>
    <w:p w14:paraId="508A9BEF" w14:textId="39AEC367" w:rsidR="00AA7FB6" w:rsidRDefault="00AA7FB6" w:rsidP="000432B5">
      <w:pPr>
        <w:pStyle w:val="NormalWeb"/>
        <w:spacing w:before="0" w:beforeAutospacing="0" w:after="0" w:afterAutospacing="0" w:line="276" w:lineRule="auto"/>
        <w:ind w:firstLine="720"/>
        <w:contextualSpacing/>
        <w:jc w:val="both"/>
        <w:rPr>
          <w:rFonts w:asciiTheme="minorHAnsi" w:hAnsiTheme="minorHAnsi" w:cstheme="majorBidi"/>
        </w:rPr>
      </w:pPr>
      <w:r w:rsidRPr="0002512F">
        <w:rPr>
          <w:rFonts w:asciiTheme="minorHAnsi" w:hAnsiTheme="minorHAnsi" w:cstheme="majorBidi"/>
        </w:rPr>
        <w:t xml:space="preserve">Ultimately, the study demonstrates that </w:t>
      </w:r>
      <w:r w:rsidRPr="0002512F">
        <w:rPr>
          <w:rStyle w:val="Strong"/>
          <w:rFonts w:asciiTheme="minorHAnsi" w:hAnsiTheme="minorHAnsi" w:cstheme="majorBidi"/>
          <w:b w:val="0"/>
          <w:bCs w:val="0"/>
        </w:rPr>
        <w:t>Islamic law can provide the ethical direction, while Waqf can provide an institutional mechanism for translating that ethical framework into sustainable agricultural practice</w:t>
      </w:r>
      <w:r w:rsidRPr="0002512F">
        <w:rPr>
          <w:rFonts w:asciiTheme="minorHAnsi" w:hAnsiTheme="minorHAnsi" w:cstheme="majorBidi"/>
        </w:rPr>
        <w:t>. Their integration offers a potentially equitable approach to ecological food security one that seeks not merely to produce more food, but to preserve the land, water, resources, communities, and human welfare upon which food security depends over the long term. This is consistent with the paper's central objective of developing an ethical and equitable Shariah- and Waqf-based approach that balances agricultural production with ecological conservation.</w:t>
      </w:r>
    </w:p>
    <w:p w14:paraId="008B0AD5" w14:textId="712B3AA2" w:rsidR="0002512F" w:rsidRDefault="0002512F" w:rsidP="000432B5">
      <w:pPr>
        <w:pStyle w:val="NormalWeb"/>
        <w:spacing w:before="0" w:beforeAutospacing="0" w:after="0" w:afterAutospacing="0" w:line="276" w:lineRule="auto"/>
        <w:ind w:firstLine="720"/>
        <w:contextualSpacing/>
        <w:jc w:val="both"/>
        <w:rPr>
          <w:rFonts w:asciiTheme="minorHAnsi" w:hAnsiTheme="minorHAnsi" w:cstheme="majorBidi"/>
        </w:rPr>
      </w:pPr>
    </w:p>
    <w:p w14:paraId="3212A2E5" w14:textId="77777777" w:rsidR="00B76790" w:rsidRDefault="00B76790" w:rsidP="00B76790">
      <w:pPr>
        <w:pStyle w:val="Heading2"/>
        <w:numPr>
          <w:ilvl w:val="0"/>
          <w:numId w:val="0"/>
        </w:numPr>
        <w:spacing w:before="0"/>
        <w:ind w:left="66"/>
        <w:contextualSpacing/>
        <w:jc w:val="both"/>
        <w:rPr>
          <w:szCs w:val="24"/>
        </w:rPr>
      </w:pPr>
    </w:p>
    <w:p w14:paraId="708CFFF4" w14:textId="0FFFF0E1" w:rsidR="00AA7FB6" w:rsidRDefault="00AA7FB6" w:rsidP="00B76790">
      <w:pPr>
        <w:pStyle w:val="Heading2"/>
        <w:numPr>
          <w:ilvl w:val="0"/>
          <w:numId w:val="0"/>
        </w:numPr>
        <w:spacing w:before="0"/>
        <w:ind w:left="66"/>
        <w:contextualSpacing/>
        <w:jc w:val="both"/>
        <w:rPr>
          <w:szCs w:val="24"/>
        </w:rPr>
      </w:pPr>
      <w:r w:rsidRPr="0002512F">
        <w:rPr>
          <w:szCs w:val="24"/>
        </w:rPr>
        <w:t>References</w:t>
      </w:r>
    </w:p>
    <w:p w14:paraId="68C8985D" w14:textId="77777777" w:rsidR="00B76790" w:rsidRPr="00B76790" w:rsidRDefault="00B76790" w:rsidP="00B76790"/>
    <w:p w14:paraId="6C443590"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Abduh, M. (2019). The role of Islamic social finance in achieving SDG number 2: End hunger, achieve food security and improved nutrition and promote sustainable agriculture. </w:t>
      </w:r>
      <w:r w:rsidRPr="0002512F">
        <w:rPr>
          <w:rStyle w:val="Emphasis"/>
          <w:rFonts w:asciiTheme="minorHAnsi" w:hAnsiTheme="minorHAnsi"/>
        </w:rPr>
        <w:t>Al-Shajarah: Journal of the International Institute of Islamic Thought and Civilization (ISTAC),</w:t>
      </w:r>
      <w:r w:rsidRPr="0002512F">
        <w:rPr>
          <w:rFonts w:asciiTheme="minorHAnsi" w:hAnsiTheme="minorHAnsi"/>
        </w:rPr>
        <w:t xml:space="preserve"> 185–206. https://doi.org/10.31436/shajarah.v0i0.902 </w:t>
      </w:r>
    </w:p>
    <w:p w14:paraId="0FC7D452"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Afifi, F., &amp; Heriyanto, H. (2025). Revitalizing Khilāfah fī al-Arḍ for sustainable agriculture: An ethical-operational framework derived from Quranic exegesis. </w:t>
      </w:r>
      <w:r w:rsidRPr="0002512F">
        <w:rPr>
          <w:rStyle w:val="Emphasis"/>
          <w:rFonts w:asciiTheme="minorHAnsi" w:hAnsiTheme="minorHAnsi"/>
        </w:rPr>
        <w:t>TAFSE: Journal of Qur’anic Studies, 10</w:t>
      </w:r>
      <w:r w:rsidRPr="0002512F">
        <w:rPr>
          <w:rFonts w:asciiTheme="minorHAnsi" w:hAnsiTheme="minorHAnsi"/>
        </w:rPr>
        <w:t xml:space="preserve">(2), 179–191. </w:t>
      </w:r>
      <w:hyperlink r:id="rId9" w:tgtFrame="_new" w:history="1">
        <w:r w:rsidRPr="0002512F">
          <w:rPr>
            <w:rStyle w:val="Hyperlink"/>
            <w:rFonts w:asciiTheme="minorHAnsi" w:hAnsiTheme="minorHAnsi"/>
          </w:rPr>
          <w:t>https://doi.org/10.22373/tafse.v10i2.33586</w:t>
        </w:r>
      </w:hyperlink>
      <w:r w:rsidRPr="0002512F">
        <w:rPr>
          <w:rFonts w:asciiTheme="minorHAnsi" w:hAnsiTheme="minorHAnsi"/>
        </w:rPr>
        <w:t xml:space="preserve"> </w:t>
      </w:r>
    </w:p>
    <w:p w14:paraId="0028FCC6"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Aliyu, S. A., Muhammad, A. A., Ardo, A. M., &amp; Adam, M. (2025). Reinterpreting Waqf in light of contemporary socio-economic realities. </w:t>
      </w:r>
      <w:r w:rsidRPr="0002512F">
        <w:rPr>
          <w:rStyle w:val="Emphasis"/>
          <w:rFonts w:asciiTheme="minorHAnsi" w:hAnsiTheme="minorHAnsi"/>
        </w:rPr>
        <w:t>Perwakilan: Journal of Good Governance, Diplomacy, Customary Institutionalization and Social Networks, 3</w:t>
      </w:r>
      <w:r w:rsidRPr="0002512F">
        <w:rPr>
          <w:rFonts w:asciiTheme="minorHAnsi" w:hAnsiTheme="minorHAnsi"/>
        </w:rPr>
        <w:t xml:space="preserve">(2), 191–197. </w:t>
      </w:r>
      <w:hyperlink r:id="rId10" w:tgtFrame="_new" w:history="1">
        <w:r w:rsidRPr="0002512F">
          <w:rPr>
            <w:rStyle w:val="Hyperlink"/>
            <w:rFonts w:asciiTheme="minorHAnsi" w:hAnsiTheme="minorHAnsi"/>
          </w:rPr>
          <w:t>https://doi.org/10.58764/j.prwkl.2025.3.137</w:t>
        </w:r>
      </w:hyperlink>
      <w:r w:rsidRPr="0002512F">
        <w:rPr>
          <w:rFonts w:asciiTheme="minorHAnsi" w:hAnsiTheme="minorHAnsi"/>
        </w:rPr>
        <w:t xml:space="preserve"> </w:t>
      </w:r>
    </w:p>
    <w:p w14:paraId="3F75E723"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Food and Agriculture Organization of the United Nations, International Fund for Agricultural Development, United Nations Children’s Fund, World Food Programme, &amp; World Health Organization. (2025). </w:t>
      </w:r>
      <w:r w:rsidRPr="0002512F">
        <w:rPr>
          <w:rStyle w:val="Emphasis"/>
          <w:rFonts w:asciiTheme="minorHAnsi" w:hAnsiTheme="minorHAnsi"/>
        </w:rPr>
        <w:t>The state of food security and nutrition in the world 2025: Addressing high food price inflation for food security and nutrition</w:t>
      </w:r>
      <w:r w:rsidRPr="0002512F">
        <w:rPr>
          <w:rFonts w:asciiTheme="minorHAnsi" w:hAnsiTheme="minorHAnsi"/>
        </w:rPr>
        <w:t xml:space="preserve">. FAO. </w:t>
      </w:r>
      <w:hyperlink r:id="rId11" w:tgtFrame="_new" w:history="1">
        <w:r w:rsidRPr="0002512F">
          <w:rPr>
            <w:rStyle w:val="Hyperlink"/>
            <w:rFonts w:asciiTheme="minorHAnsi" w:hAnsiTheme="minorHAnsi"/>
          </w:rPr>
          <w:t>https://doi.org/10.4060/cd6008en</w:t>
        </w:r>
      </w:hyperlink>
    </w:p>
    <w:p w14:paraId="2930EDD4"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Fajri, M. Z. N., Latif, A., Fajlurrahman, M. A. H., &amp; Muhammad, A. A. (2025). SDGs in Islamic commercial and social finance literature: A bibliometric and content analysis. </w:t>
      </w:r>
      <w:r w:rsidRPr="0002512F">
        <w:rPr>
          <w:rStyle w:val="Emphasis"/>
          <w:rFonts w:asciiTheme="minorHAnsi" w:hAnsiTheme="minorHAnsi"/>
        </w:rPr>
        <w:t>Jurnal Ekonomi dan Bisnis Islam (Journal of Islamic Economics and Business), 11</w:t>
      </w:r>
      <w:r w:rsidRPr="0002512F">
        <w:rPr>
          <w:rFonts w:asciiTheme="minorHAnsi" w:hAnsiTheme="minorHAnsi"/>
        </w:rPr>
        <w:t xml:space="preserve">(1), 131–162. </w:t>
      </w:r>
      <w:hyperlink r:id="rId12" w:tgtFrame="_new" w:history="1">
        <w:r w:rsidRPr="0002512F">
          <w:rPr>
            <w:rStyle w:val="Hyperlink"/>
            <w:rFonts w:asciiTheme="minorHAnsi" w:hAnsiTheme="minorHAnsi"/>
          </w:rPr>
          <w:t>https://doi.org/10.20473/jebis.v11i1.64274</w:t>
        </w:r>
      </w:hyperlink>
      <w:r w:rsidRPr="0002512F">
        <w:rPr>
          <w:rFonts w:asciiTheme="minorHAnsi" w:hAnsiTheme="minorHAnsi"/>
        </w:rPr>
        <w:t xml:space="preserve"> </w:t>
      </w:r>
    </w:p>
    <w:p w14:paraId="5520A426"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Maulida, S., &amp; Rusydiana, A. S. (2025). Integrated Waqf Environment Model (IWEM): Proposal for funding sustainable agriculture through Waqf to embrace the Era of Smart Agriculture 5.0. </w:t>
      </w:r>
      <w:r w:rsidRPr="0002512F">
        <w:rPr>
          <w:rStyle w:val="Emphasis"/>
          <w:rFonts w:asciiTheme="minorHAnsi" w:hAnsiTheme="minorHAnsi"/>
        </w:rPr>
        <w:t>Journal of Islamic Economics Lariba, 11</w:t>
      </w:r>
      <w:r w:rsidRPr="0002512F">
        <w:rPr>
          <w:rFonts w:asciiTheme="minorHAnsi" w:hAnsiTheme="minorHAnsi"/>
        </w:rPr>
        <w:t xml:space="preserve">(1), 229–252. </w:t>
      </w:r>
      <w:hyperlink r:id="rId13" w:tgtFrame="_new" w:history="1">
        <w:r w:rsidRPr="0002512F">
          <w:rPr>
            <w:rStyle w:val="Hyperlink"/>
            <w:rFonts w:asciiTheme="minorHAnsi" w:hAnsiTheme="minorHAnsi"/>
          </w:rPr>
          <w:t>https://doi.org/10.20885/jielariba.vol11.iss1.art9</w:t>
        </w:r>
      </w:hyperlink>
      <w:r w:rsidRPr="0002512F">
        <w:rPr>
          <w:rFonts w:asciiTheme="minorHAnsi" w:hAnsiTheme="minorHAnsi"/>
        </w:rPr>
        <w:t xml:space="preserve"> </w:t>
      </w:r>
    </w:p>
    <w:p w14:paraId="6046203E"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Muhammad, A. A., Aliyu, S. A., Abdullahi, H., Ibrahim, M., &amp; Ibrahim, R. M. (2025). The role of Waqf in agricultural development and modernization in North-Eastern Nigeria. </w:t>
      </w:r>
      <w:r w:rsidRPr="0002512F">
        <w:rPr>
          <w:rStyle w:val="Emphasis"/>
          <w:rFonts w:asciiTheme="minorHAnsi" w:hAnsiTheme="minorHAnsi"/>
        </w:rPr>
        <w:t>WAQF Business Review, 1</w:t>
      </w:r>
      <w:r w:rsidRPr="0002512F">
        <w:rPr>
          <w:rFonts w:asciiTheme="minorHAnsi" w:hAnsiTheme="minorHAnsi"/>
        </w:rPr>
        <w:t xml:space="preserve">(1), 15–22. </w:t>
      </w:r>
    </w:p>
    <w:p w14:paraId="7D4FCD93"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Muhammad, A. A., &amp; Afifi, A. A. (2025). A complementary Zakat–Waqf integrated model for sustainable economic empowerment programs. </w:t>
      </w:r>
      <w:r w:rsidRPr="0002512F">
        <w:rPr>
          <w:rStyle w:val="Emphasis"/>
          <w:rFonts w:asciiTheme="minorHAnsi" w:hAnsiTheme="minorHAnsi"/>
        </w:rPr>
        <w:t xml:space="preserve">AL-IMAM: Journal on Islamic </w:t>
      </w:r>
      <w:r w:rsidRPr="0002512F">
        <w:rPr>
          <w:rStyle w:val="Emphasis"/>
          <w:rFonts w:asciiTheme="minorHAnsi" w:hAnsiTheme="minorHAnsi"/>
        </w:rPr>
        <w:lastRenderedPageBreak/>
        <w:t>Studies, Civilization and Learning Societies, 6</w:t>
      </w:r>
      <w:r w:rsidRPr="0002512F">
        <w:rPr>
          <w:rFonts w:asciiTheme="minorHAnsi" w:hAnsiTheme="minorHAnsi"/>
        </w:rPr>
        <w:t xml:space="preserve">(2), 183–190. </w:t>
      </w:r>
      <w:hyperlink r:id="rId14" w:tgtFrame="_new" w:history="1">
        <w:r w:rsidRPr="0002512F">
          <w:rPr>
            <w:rStyle w:val="Hyperlink"/>
            <w:rFonts w:asciiTheme="minorHAnsi" w:hAnsiTheme="minorHAnsi"/>
          </w:rPr>
          <w:t>https://doi.org/10.58764/j.im.2025.6.126</w:t>
        </w:r>
      </w:hyperlink>
      <w:r w:rsidRPr="0002512F">
        <w:rPr>
          <w:rFonts w:asciiTheme="minorHAnsi" w:hAnsiTheme="minorHAnsi"/>
        </w:rPr>
        <w:t xml:space="preserve"> </w:t>
      </w:r>
    </w:p>
    <w:p w14:paraId="798E858C"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Muhammad, A. A., Ardo, A. M., Aliyu, S. A., &amp; Tafida, A. L. (2024). The role of Zakat and Waqf institutions in addressing sustainable water management and security challenges among the Organization of Islamic Cooperation countries. </w:t>
      </w:r>
      <w:r w:rsidRPr="0002512F">
        <w:rPr>
          <w:rStyle w:val="Emphasis"/>
          <w:rFonts w:asciiTheme="minorHAnsi" w:hAnsiTheme="minorHAnsi"/>
        </w:rPr>
        <w:t>Inclusive Society and Sustainability Studies, 4</w:t>
      </w:r>
      <w:r w:rsidRPr="0002512F">
        <w:rPr>
          <w:rFonts w:asciiTheme="minorHAnsi" w:hAnsiTheme="minorHAnsi"/>
        </w:rPr>
        <w:t xml:space="preserve">(2), 70–83. </w:t>
      </w:r>
      <w:hyperlink r:id="rId15" w:tgtFrame="_new" w:history="1">
        <w:r w:rsidRPr="0002512F">
          <w:rPr>
            <w:rStyle w:val="Hyperlink"/>
            <w:rFonts w:asciiTheme="minorHAnsi" w:hAnsiTheme="minorHAnsi"/>
          </w:rPr>
          <w:t>https://doi.org/10.31098/issues.v4i2.2967</w:t>
        </w:r>
      </w:hyperlink>
      <w:r w:rsidRPr="0002512F">
        <w:rPr>
          <w:rFonts w:asciiTheme="minorHAnsi" w:hAnsiTheme="minorHAnsi"/>
        </w:rPr>
        <w:t xml:space="preserve"> </w:t>
      </w:r>
    </w:p>
    <w:p w14:paraId="6BA64384"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Muizz, A., Kassim, S., &amp; Noordin, N. H. (2025). Revitalizing agricultural Waqf for sustainable food security: A comparative study of Indonesia and Türkiye. </w:t>
      </w:r>
      <w:r w:rsidRPr="0002512F">
        <w:rPr>
          <w:rStyle w:val="Emphasis"/>
          <w:rFonts w:asciiTheme="minorHAnsi" w:hAnsiTheme="minorHAnsi"/>
        </w:rPr>
        <w:t>Al-Mustashfa: Jurnal Penelitian Hukum Ekonomi Syariah, 10</w:t>
      </w:r>
      <w:r w:rsidRPr="0002512F">
        <w:rPr>
          <w:rFonts w:asciiTheme="minorHAnsi" w:hAnsiTheme="minorHAnsi"/>
        </w:rPr>
        <w:t xml:space="preserve">(2). </w:t>
      </w:r>
      <w:hyperlink r:id="rId16" w:tgtFrame="_new" w:history="1">
        <w:r w:rsidRPr="0002512F">
          <w:rPr>
            <w:rStyle w:val="Hyperlink"/>
            <w:rFonts w:asciiTheme="minorHAnsi" w:hAnsiTheme="minorHAnsi"/>
          </w:rPr>
          <w:t>https://doi.org/10.24235/jm.v10i2.22151</w:t>
        </w:r>
      </w:hyperlink>
      <w:r w:rsidRPr="0002512F">
        <w:rPr>
          <w:rFonts w:asciiTheme="minorHAnsi" w:hAnsiTheme="minorHAnsi"/>
        </w:rPr>
        <w:t xml:space="preserve"> </w:t>
      </w:r>
    </w:p>
    <w:p w14:paraId="6479224D"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Mufatikhah, R. N., Drajat, E. U., &amp; Muhammad, A. A. (2025). Strengthening halal value chains for sustainable MSMEs growth: A case study of food industries in Madiun City, Indonesia. </w:t>
      </w:r>
      <w:r w:rsidRPr="0002512F">
        <w:rPr>
          <w:rStyle w:val="Emphasis"/>
          <w:rFonts w:asciiTheme="minorHAnsi" w:hAnsiTheme="minorHAnsi"/>
        </w:rPr>
        <w:t>JoIE: Journal of Islamic Economics, 5</w:t>
      </w:r>
      <w:r w:rsidRPr="0002512F">
        <w:rPr>
          <w:rFonts w:asciiTheme="minorHAnsi" w:hAnsiTheme="minorHAnsi"/>
        </w:rPr>
        <w:t xml:space="preserve">(1). </w:t>
      </w:r>
      <w:hyperlink r:id="rId17" w:tgtFrame="_new" w:history="1">
        <w:r w:rsidRPr="0002512F">
          <w:rPr>
            <w:rStyle w:val="Hyperlink"/>
            <w:rFonts w:asciiTheme="minorHAnsi" w:hAnsiTheme="minorHAnsi"/>
          </w:rPr>
          <w:t>https://doi.org/10.21154/joie.v5i1.10289</w:t>
        </w:r>
      </w:hyperlink>
      <w:r w:rsidRPr="0002512F">
        <w:rPr>
          <w:rFonts w:asciiTheme="minorHAnsi" w:hAnsiTheme="minorHAnsi"/>
        </w:rPr>
        <w:t xml:space="preserve"> </w:t>
      </w:r>
    </w:p>
    <w:p w14:paraId="1625CDD9" w14:textId="77777777" w:rsidR="00AA7FB6" w:rsidRPr="0002512F" w:rsidRDefault="00AA7FB6" w:rsidP="0002512F">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Suryani, S., Nurdin, Z., Marhayati, N., &amp; Muhammad, A. A. (2024). Contextualizing the philosophy of women's empowerment through the role of the National Board of Zakat in Indonesia. </w:t>
      </w:r>
      <w:r w:rsidRPr="0002512F">
        <w:rPr>
          <w:rStyle w:val="Emphasis"/>
          <w:rFonts w:asciiTheme="minorHAnsi" w:hAnsiTheme="minorHAnsi"/>
        </w:rPr>
        <w:t>Madania: Jurnal Kajian Keislaman, 28</w:t>
      </w:r>
      <w:r w:rsidRPr="0002512F">
        <w:rPr>
          <w:rFonts w:asciiTheme="minorHAnsi" w:hAnsiTheme="minorHAnsi"/>
        </w:rPr>
        <w:t xml:space="preserve">(1), 81–92. </w:t>
      </w:r>
      <w:hyperlink r:id="rId18" w:tgtFrame="_new" w:history="1">
        <w:r w:rsidRPr="0002512F">
          <w:rPr>
            <w:rStyle w:val="Hyperlink"/>
            <w:rFonts w:asciiTheme="minorHAnsi" w:hAnsiTheme="minorHAnsi"/>
          </w:rPr>
          <w:t>https://doi.org/10.29300/madania.v28i1.4597</w:t>
        </w:r>
      </w:hyperlink>
      <w:r w:rsidRPr="0002512F">
        <w:rPr>
          <w:rFonts w:asciiTheme="minorHAnsi" w:hAnsiTheme="minorHAnsi"/>
        </w:rPr>
        <w:t xml:space="preserve"> </w:t>
      </w:r>
    </w:p>
    <w:p w14:paraId="2D90B568" w14:textId="728A2390" w:rsidR="001321BC" w:rsidRPr="0002512F" w:rsidRDefault="00AA7FB6" w:rsidP="00B76790">
      <w:pPr>
        <w:pStyle w:val="NormalWeb"/>
        <w:spacing w:before="0" w:beforeAutospacing="0" w:after="0" w:afterAutospacing="0"/>
        <w:ind w:left="709" w:hanging="709"/>
        <w:contextualSpacing/>
        <w:jc w:val="both"/>
        <w:rPr>
          <w:rFonts w:asciiTheme="minorHAnsi" w:hAnsiTheme="minorHAnsi"/>
        </w:rPr>
      </w:pPr>
      <w:r w:rsidRPr="0002512F">
        <w:rPr>
          <w:rFonts w:asciiTheme="minorHAnsi" w:hAnsiTheme="minorHAnsi"/>
        </w:rPr>
        <w:t xml:space="preserve">Yunita, P. (2020). Cash Waqf Linked Sukuk (CWLS) model: For Indonesia sustainable food security. </w:t>
      </w:r>
      <w:r w:rsidRPr="0002512F">
        <w:rPr>
          <w:rStyle w:val="Emphasis"/>
          <w:rFonts w:asciiTheme="minorHAnsi" w:hAnsiTheme="minorHAnsi"/>
        </w:rPr>
        <w:t>Al-Awqaf: Jurnal Wakaf dan Ekonomi Islam, 13</w:t>
      </w:r>
      <w:r w:rsidRPr="0002512F">
        <w:rPr>
          <w:rFonts w:asciiTheme="minorHAnsi" w:hAnsiTheme="minorHAnsi"/>
        </w:rPr>
        <w:t xml:space="preserve">(1), 59–72. </w:t>
      </w:r>
      <w:hyperlink r:id="rId19" w:tgtFrame="_new" w:history="1">
        <w:r w:rsidRPr="0002512F">
          <w:rPr>
            <w:rStyle w:val="Hyperlink"/>
            <w:rFonts w:asciiTheme="minorHAnsi" w:hAnsiTheme="minorHAnsi"/>
          </w:rPr>
          <w:t>https://doi.org/10.47411/al-awqaf.v13i1.96</w:t>
        </w:r>
      </w:hyperlink>
      <w:r w:rsidRPr="0002512F">
        <w:rPr>
          <w:rFonts w:asciiTheme="minorHAnsi" w:hAnsiTheme="minorHAnsi"/>
        </w:rPr>
        <w:t xml:space="preserve"> </w:t>
      </w:r>
    </w:p>
    <w:sectPr w:rsidR="001321BC" w:rsidRPr="0002512F" w:rsidSect="000432B5">
      <w:headerReference w:type="even" r:id="rId20"/>
      <w:headerReference w:type="default" r:id="rId21"/>
      <w:footerReference w:type="even" r:id="rId22"/>
      <w:footerReference w:type="default" r:id="rId23"/>
      <w:headerReference w:type="first" r:id="rId24"/>
      <w:footerReference w:type="first" r:id="rId25"/>
      <w:pgSz w:w="11906" w:h="16838" w:code="9"/>
      <w:pgMar w:top="1699" w:right="1699" w:bottom="1699" w:left="1699" w:header="1080" w:footer="1195" w:gutter="0"/>
      <w:pgNumType w:start="22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D8F20F" w14:textId="77777777" w:rsidR="00001525" w:rsidRDefault="00001525" w:rsidP="00F8186E">
      <w:r>
        <w:separator/>
      </w:r>
    </w:p>
  </w:endnote>
  <w:endnote w:type="continuationSeparator" w:id="0">
    <w:p w14:paraId="3BCAABB2" w14:textId="77777777" w:rsidR="00001525" w:rsidRDefault="00001525" w:rsidP="00F8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6161B5" w14:textId="77777777" w:rsidR="007E796B" w:rsidRDefault="007E796B" w:rsidP="007E796B">
    <w:pPr>
      <w:pStyle w:val="Footer"/>
      <w:framePr w:wrap="none" w:vAnchor="text" w:hAnchor="margin" w:xAlign="center" w:y="1"/>
      <w:rPr>
        <w:rStyle w:val="PageNumber"/>
      </w:rPr>
    </w:pPr>
  </w:p>
  <w:p w14:paraId="384EDC7C" w14:textId="77777777" w:rsidR="007E796B" w:rsidRPr="00F6355A" w:rsidRDefault="007E796B" w:rsidP="007E796B">
    <w:pPr>
      <w:spacing w:line="273" w:lineRule="exact"/>
      <w:ind w:left="20"/>
      <w:jc w:val="right"/>
      <w:rPr>
        <w:sz w:val="20"/>
        <w:szCs w:val="20"/>
      </w:rPr>
    </w:pPr>
    <w:r w:rsidRPr="00936CF5">
      <w:rPr>
        <w:rFonts w:ascii="Arial"/>
        <w:b/>
        <w:color w:val="231F20"/>
        <w:sz w:val="20"/>
        <w:szCs w:val="20"/>
      </w:rPr>
      <w:t xml:space="preserve">International Seminar on Sharia, Law, and Muslim Society  </w:t>
    </w:r>
    <w:r w:rsidRPr="005647A6">
      <w:rPr>
        <w:rFonts w:ascii="Arial" w:hAnsi="Arial" w:cs="Arial"/>
        <w:color w:val="231F20"/>
        <w:sz w:val="20"/>
        <w:szCs w:val="20"/>
      </w:rPr>
      <w:t xml:space="preserve"> ~ Vol. </w:t>
    </w:r>
    <w:r>
      <w:rPr>
        <w:rFonts w:ascii="Arial" w:hAnsi="Arial" w:cs="Arial"/>
        <w:color w:val="231F20"/>
        <w:sz w:val="20"/>
        <w:szCs w:val="20"/>
      </w:rPr>
      <w:t>01</w:t>
    </w:r>
    <w:r w:rsidRPr="005647A6">
      <w:rPr>
        <w:rFonts w:ascii="Arial" w:hAnsi="Arial" w:cs="Arial"/>
        <w:color w:val="231F20"/>
        <w:sz w:val="20"/>
        <w:szCs w:val="20"/>
      </w:rPr>
      <w:t xml:space="preserve">, No. </w:t>
    </w:r>
    <w:r>
      <w:rPr>
        <w:rFonts w:ascii="Arial" w:hAnsi="Arial" w:cs="Arial"/>
        <w:color w:val="231F20"/>
        <w:sz w:val="20"/>
        <w:szCs w:val="20"/>
      </w:rPr>
      <w:t>01</w:t>
    </w:r>
    <w:r w:rsidRPr="005647A6">
      <w:rPr>
        <w:rFonts w:ascii="Arial" w:hAnsi="Arial" w:cs="Arial"/>
        <w:color w:val="231F20"/>
        <w:sz w:val="20"/>
        <w:szCs w:val="20"/>
      </w:rPr>
      <w:t>, 20</w:t>
    </w:r>
    <w:r>
      <w:rPr>
        <w:rFonts w:ascii="Arial" w:hAnsi="Arial" w:cs="Arial"/>
        <w:color w:val="231F20"/>
        <w:sz w:val="20"/>
        <w:szCs w:val="20"/>
      </w:rPr>
      <w:t>26</w:t>
    </w:r>
  </w:p>
  <w:p w14:paraId="7F1C5E13" w14:textId="77777777" w:rsidR="00C823DE" w:rsidRPr="007E796B" w:rsidRDefault="00C823DE" w:rsidP="007E79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CA59C" w14:textId="71E01E90" w:rsidR="007E796B" w:rsidRPr="005647A6" w:rsidRDefault="007E796B" w:rsidP="007E796B">
    <w:pPr>
      <w:spacing w:line="273" w:lineRule="exact"/>
      <w:ind w:left="20"/>
      <w:rPr>
        <w:rFonts w:ascii="Arial" w:hAnsi="Arial" w:cs="Arial"/>
        <w:color w:val="231F20"/>
        <w:sz w:val="20"/>
        <w:szCs w:val="20"/>
      </w:rPr>
    </w:pPr>
    <w:r w:rsidRPr="00936CF5">
      <w:rPr>
        <w:rFonts w:ascii="Arial"/>
        <w:b/>
        <w:color w:val="231F20"/>
        <w:sz w:val="20"/>
        <w:szCs w:val="20"/>
      </w:rPr>
      <w:t xml:space="preserve">International Seminar on Sharia, Law, and Muslim Society </w:t>
    </w:r>
    <w:r w:rsidRPr="005647A6">
      <w:rPr>
        <w:rFonts w:ascii="Arial" w:hAnsi="Arial" w:cs="Arial"/>
        <w:color w:val="231F20"/>
        <w:sz w:val="20"/>
        <w:szCs w:val="20"/>
      </w:rPr>
      <w:t xml:space="preserve">~ Vol. </w:t>
    </w:r>
    <w:r>
      <w:rPr>
        <w:rFonts w:ascii="Arial" w:hAnsi="Arial" w:cs="Arial"/>
        <w:color w:val="231F20"/>
        <w:sz w:val="20"/>
        <w:szCs w:val="20"/>
      </w:rPr>
      <w:t>01</w:t>
    </w:r>
    <w:r w:rsidRPr="005647A6">
      <w:rPr>
        <w:rFonts w:ascii="Arial" w:hAnsi="Arial" w:cs="Arial"/>
        <w:color w:val="231F20"/>
        <w:sz w:val="20"/>
        <w:szCs w:val="20"/>
      </w:rPr>
      <w:t xml:space="preserve">, No. </w:t>
    </w:r>
    <w:r>
      <w:rPr>
        <w:rFonts w:ascii="Arial" w:hAnsi="Arial" w:cs="Arial"/>
        <w:color w:val="231F20"/>
        <w:sz w:val="20"/>
        <w:szCs w:val="20"/>
      </w:rPr>
      <w:t>01</w:t>
    </w:r>
    <w:r w:rsidRPr="005647A6">
      <w:rPr>
        <w:rFonts w:ascii="Arial" w:hAnsi="Arial" w:cs="Arial"/>
        <w:color w:val="231F20"/>
        <w:sz w:val="20"/>
        <w:szCs w:val="20"/>
      </w:rPr>
      <w:t>, 20</w:t>
    </w:r>
    <w:r>
      <w:rPr>
        <w:rFonts w:ascii="Arial" w:hAnsi="Arial" w:cs="Arial"/>
        <w:color w:val="231F20"/>
        <w:sz w:val="20"/>
        <w:szCs w:val="20"/>
      </w:rPr>
      <w:t>26</w:t>
    </w:r>
  </w:p>
  <w:p w14:paraId="50DA499F" w14:textId="77777777" w:rsidR="00F8186E" w:rsidRPr="007E796B" w:rsidRDefault="00F8186E" w:rsidP="007E79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96C8A" w14:textId="77777777" w:rsidR="007E796B" w:rsidRDefault="007E796B" w:rsidP="007E796B">
    <w:pPr>
      <w:pStyle w:val="Footer"/>
      <w:jc w:val="center"/>
      <w:rPr>
        <w:rFonts w:ascii="Trebuchet MS" w:hAnsi="Trebuchet MS"/>
        <w:sz w:val="18"/>
        <w:szCs w:val="18"/>
      </w:rPr>
    </w:pPr>
  </w:p>
  <w:p w14:paraId="2045E3BE" w14:textId="77777777" w:rsidR="007E796B" w:rsidRDefault="007E796B" w:rsidP="007E796B">
    <w:pPr>
      <w:pStyle w:val="Footer"/>
      <w:jc w:val="center"/>
      <w:rPr>
        <w:rFonts w:ascii="Trebuchet MS" w:hAnsi="Trebuchet MS"/>
        <w:sz w:val="18"/>
        <w:szCs w:val="18"/>
      </w:rPr>
    </w:pPr>
  </w:p>
  <w:p w14:paraId="343EC25F" w14:textId="77777777" w:rsidR="007E796B" w:rsidRDefault="007E796B" w:rsidP="007E796B">
    <w:pPr>
      <w:pStyle w:val="Footer"/>
      <w:jc w:val="center"/>
      <w:rPr>
        <w:rFonts w:ascii="Trebuchet MS" w:hAnsi="Trebuchet MS"/>
        <w:sz w:val="18"/>
        <w:szCs w:val="18"/>
      </w:rPr>
    </w:pPr>
  </w:p>
  <w:tbl>
    <w:tblPr>
      <w:tblW w:w="0" w:type="auto"/>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2833"/>
      <w:gridCol w:w="2833"/>
    </w:tblGrid>
    <w:tr w:rsidR="007E796B" w14:paraId="561AE639" w14:textId="77777777" w:rsidTr="00695BF5">
      <w:tc>
        <w:tcPr>
          <w:tcW w:w="3096" w:type="dxa"/>
          <w:shd w:val="clear" w:color="auto" w:fill="auto"/>
        </w:tcPr>
        <w:p w14:paraId="66B381E3" w14:textId="77777777" w:rsidR="007E796B" w:rsidRPr="00172653" w:rsidRDefault="007E796B" w:rsidP="007E796B">
          <w:pPr>
            <w:ind w:right="-592" w:hanging="637"/>
            <w:jc w:val="center"/>
            <w:rPr>
              <w:rFonts w:ascii="Calibri" w:hAnsi="Calibri" w:cs="Calibri"/>
              <w:color w:val="231F20"/>
              <w:sz w:val="22"/>
              <w:szCs w:val="22"/>
            </w:rPr>
          </w:pPr>
          <w:r w:rsidRPr="00172653">
            <w:rPr>
              <w:rFonts w:ascii="Calibri" w:hAnsi="Calibri" w:cs="Calibri"/>
              <w:color w:val="231F20"/>
              <w:sz w:val="22"/>
              <w:szCs w:val="22"/>
            </w:rPr>
            <w:t xml:space="preserve">Submitted: </w:t>
          </w:r>
          <w:r>
            <w:rPr>
              <w:rFonts w:ascii="Calibri" w:hAnsi="Calibri" w:cs="Calibri"/>
              <w:color w:val="231F20"/>
              <w:sz w:val="22"/>
              <w:szCs w:val="22"/>
            </w:rPr>
            <w:t>07</w:t>
          </w:r>
          <w:r w:rsidRPr="00172653">
            <w:rPr>
              <w:rFonts w:ascii="Calibri" w:hAnsi="Calibri" w:cs="Calibri"/>
              <w:color w:val="231F20"/>
              <w:sz w:val="22"/>
              <w:szCs w:val="22"/>
            </w:rPr>
            <w:t xml:space="preserve"> </w:t>
          </w:r>
          <w:r>
            <w:rPr>
              <w:rFonts w:ascii="Calibri" w:hAnsi="Calibri" w:cs="Calibri"/>
              <w:color w:val="231F20"/>
              <w:sz w:val="22"/>
              <w:szCs w:val="22"/>
            </w:rPr>
            <w:t>31</w:t>
          </w:r>
          <w:r w:rsidRPr="00172653">
            <w:rPr>
              <w:rFonts w:ascii="Calibri" w:hAnsi="Calibri" w:cs="Calibri"/>
              <w:color w:val="231F20"/>
              <w:sz w:val="22"/>
              <w:szCs w:val="22"/>
            </w:rPr>
            <w:t xml:space="preserve">, </w:t>
          </w:r>
          <w:r>
            <w:rPr>
              <w:rFonts w:ascii="Calibri" w:hAnsi="Calibri" w:cs="Calibri"/>
              <w:color w:val="231F20"/>
              <w:sz w:val="22"/>
              <w:szCs w:val="22"/>
            </w:rPr>
            <w:t>2026</w:t>
          </w:r>
        </w:p>
      </w:tc>
      <w:tc>
        <w:tcPr>
          <w:tcW w:w="3096" w:type="dxa"/>
          <w:shd w:val="clear" w:color="auto" w:fill="auto"/>
        </w:tcPr>
        <w:p w14:paraId="0F8AD755" w14:textId="77777777" w:rsidR="007E796B" w:rsidRPr="00172653" w:rsidRDefault="007E796B" w:rsidP="007E796B">
          <w:pPr>
            <w:ind w:right="-592" w:hanging="637"/>
            <w:jc w:val="center"/>
            <w:rPr>
              <w:rFonts w:ascii="Calibri" w:hAnsi="Calibri" w:cs="Calibri"/>
              <w:color w:val="231F20"/>
              <w:sz w:val="22"/>
              <w:szCs w:val="22"/>
            </w:rPr>
          </w:pPr>
          <w:r w:rsidRPr="00172653">
            <w:rPr>
              <w:rFonts w:ascii="Calibri" w:hAnsi="Calibri" w:cs="Calibri"/>
              <w:color w:val="231F20"/>
              <w:sz w:val="22"/>
              <w:szCs w:val="22"/>
            </w:rPr>
            <w:t xml:space="preserve">Accepted: </w:t>
          </w:r>
          <w:r>
            <w:rPr>
              <w:rFonts w:ascii="Calibri" w:hAnsi="Calibri" w:cs="Calibri"/>
              <w:color w:val="231F20"/>
              <w:sz w:val="22"/>
              <w:szCs w:val="22"/>
            </w:rPr>
            <w:t>08</w:t>
          </w:r>
          <w:r w:rsidRPr="00172653">
            <w:rPr>
              <w:rFonts w:ascii="Calibri" w:hAnsi="Calibri" w:cs="Calibri"/>
              <w:color w:val="231F20"/>
              <w:sz w:val="22"/>
              <w:szCs w:val="22"/>
            </w:rPr>
            <w:t xml:space="preserve"> </w:t>
          </w:r>
          <w:r>
            <w:rPr>
              <w:rFonts w:ascii="Calibri" w:hAnsi="Calibri" w:cs="Calibri"/>
              <w:color w:val="231F20"/>
              <w:sz w:val="22"/>
              <w:szCs w:val="22"/>
            </w:rPr>
            <w:t>26</w:t>
          </w:r>
          <w:r w:rsidRPr="00172653">
            <w:rPr>
              <w:rFonts w:ascii="Calibri" w:hAnsi="Calibri" w:cs="Calibri"/>
              <w:color w:val="231F20"/>
              <w:sz w:val="22"/>
              <w:szCs w:val="22"/>
            </w:rPr>
            <w:t xml:space="preserve">, </w:t>
          </w:r>
          <w:r>
            <w:rPr>
              <w:rFonts w:ascii="Calibri" w:hAnsi="Calibri" w:cs="Calibri"/>
              <w:color w:val="231F20"/>
              <w:sz w:val="22"/>
              <w:szCs w:val="22"/>
            </w:rPr>
            <w:t>2026</w:t>
          </w:r>
        </w:p>
      </w:tc>
      <w:tc>
        <w:tcPr>
          <w:tcW w:w="3096" w:type="dxa"/>
          <w:shd w:val="clear" w:color="auto" w:fill="auto"/>
        </w:tcPr>
        <w:p w14:paraId="5C7380A3" w14:textId="77777777" w:rsidR="007E796B" w:rsidRPr="00172653" w:rsidRDefault="007E796B" w:rsidP="007E796B">
          <w:pPr>
            <w:ind w:right="-592" w:hanging="637"/>
            <w:jc w:val="center"/>
            <w:rPr>
              <w:rFonts w:ascii="Calibri" w:hAnsi="Calibri" w:cs="Calibri"/>
              <w:color w:val="231F20"/>
              <w:sz w:val="22"/>
              <w:szCs w:val="22"/>
            </w:rPr>
          </w:pPr>
          <w:r w:rsidRPr="00172653">
            <w:rPr>
              <w:rFonts w:ascii="Calibri" w:hAnsi="Calibri" w:cs="Calibri"/>
              <w:color w:val="231F20"/>
              <w:sz w:val="22"/>
              <w:szCs w:val="22"/>
            </w:rPr>
            <w:t xml:space="preserve">Published: </w:t>
          </w:r>
          <w:r>
            <w:rPr>
              <w:rFonts w:ascii="Calibri" w:hAnsi="Calibri" w:cs="Calibri"/>
              <w:color w:val="231F20"/>
              <w:sz w:val="22"/>
              <w:szCs w:val="22"/>
            </w:rPr>
            <w:t>10</w:t>
          </w:r>
          <w:r w:rsidRPr="00172653">
            <w:rPr>
              <w:rFonts w:ascii="Calibri" w:hAnsi="Calibri" w:cs="Calibri"/>
              <w:color w:val="231F20"/>
              <w:sz w:val="22"/>
              <w:szCs w:val="22"/>
            </w:rPr>
            <w:t xml:space="preserve"> </w:t>
          </w:r>
          <w:r>
            <w:rPr>
              <w:rFonts w:ascii="Calibri" w:hAnsi="Calibri" w:cs="Calibri"/>
              <w:color w:val="231F20"/>
              <w:sz w:val="22"/>
              <w:szCs w:val="22"/>
            </w:rPr>
            <w:t>13</w:t>
          </w:r>
          <w:r w:rsidRPr="00172653">
            <w:rPr>
              <w:rFonts w:ascii="Calibri" w:hAnsi="Calibri" w:cs="Calibri"/>
              <w:color w:val="231F20"/>
              <w:sz w:val="22"/>
              <w:szCs w:val="22"/>
            </w:rPr>
            <w:t xml:space="preserve">, </w:t>
          </w:r>
          <w:r>
            <w:rPr>
              <w:rFonts w:ascii="Calibri" w:hAnsi="Calibri" w:cs="Calibri"/>
              <w:color w:val="231F20"/>
              <w:sz w:val="22"/>
              <w:szCs w:val="22"/>
            </w:rPr>
            <w:t>2026</w:t>
          </w:r>
        </w:p>
      </w:tc>
    </w:tr>
  </w:tbl>
  <w:p w14:paraId="3175792D" w14:textId="77777777" w:rsidR="00320BC9" w:rsidRPr="007E796B" w:rsidRDefault="00320BC9" w:rsidP="007E7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02C89" w14:textId="77777777" w:rsidR="00001525" w:rsidRDefault="00001525" w:rsidP="00F8186E">
      <w:r>
        <w:separator/>
      </w:r>
    </w:p>
  </w:footnote>
  <w:footnote w:type="continuationSeparator" w:id="0">
    <w:p w14:paraId="21586403" w14:textId="77777777" w:rsidR="00001525" w:rsidRDefault="00001525" w:rsidP="00F81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81066952"/>
      <w:docPartObj>
        <w:docPartGallery w:val="Page Numbers (Top of Page)"/>
        <w:docPartUnique/>
      </w:docPartObj>
    </w:sdtPr>
    <w:sdtEndPr>
      <w:rPr>
        <w:rStyle w:val="PageNumber"/>
        <w:rFonts w:ascii="Trebuchet MS" w:hAnsi="Trebuchet MS"/>
      </w:rPr>
    </w:sdtEndPr>
    <w:sdtContent>
      <w:p w14:paraId="762DE059" w14:textId="32EB9331" w:rsidR="00C05EAE" w:rsidRDefault="00C05EAE" w:rsidP="00FE43F8">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466506">
          <w:rPr>
            <w:rStyle w:val="PageNumber"/>
            <w:noProof/>
          </w:rPr>
          <w:t>20</w:t>
        </w:r>
        <w:r>
          <w:rPr>
            <w:rStyle w:val="PageNumber"/>
          </w:rPr>
          <w:fldChar w:fldCharType="end"/>
        </w:r>
      </w:p>
    </w:sdtContent>
  </w:sdt>
  <w:p w14:paraId="3190F976" w14:textId="4A44FDE7" w:rsidR="00687C9C" w:rsidRDefault="00AA7FB6" w:rsidP="00AA7FB6">
    <w:pPr>
      <w:pStyle w:val="BodyText"/>
      <w:spacing w:before="17"/>
      <w:ind w:left="20" w:right="107"/>
      <w:jc w:val="right"/>
      <w:rPr>
        <w:rFonts w:ascii="Trebuchet MS" w:hAnsi="Trebuchet MS"/>
        <w:color w:val="231F20"/>
        <w:w w:val="90"/>
      </w:rPr>
    </w:pPr>
    <w:r w:rsidRPr="00AA7FB6">
      <w:rPr>
        <w:rFonts w:ascii="Trebuchet MS" w:hAnsi="Trebuchet MS"/>
        <w:color w:val="231F20"/>
        <w:w w:val="90"/>
      </w:rPr>
      <w:t>Zulaihat, Adamu, Abubakar</w:t>
    </w:r>
    <w:r>
      <w:rPr>
        <w:rFonts w:ascii="Trebuchet MS" w:hAnsi="Trebuchet MS"/>
        <w:color w:val="231F20"/>
        <w:w w:val="90"/>
      </w:rPr>
      <w:t>,</w:t>
    </w:r>
    <w:r w:rsidRPr="00AA7FB6">
      <w:rPr>
        <w:rFonts w:ascii="Trebuchet MS" w:hAnsi="Trebuchet MS"/>
        <w:color w:val="231F20"/>
        <w:w w:val="90"/>
      </w:rPr>
      <w:t xml:space="preserve"> Shafa’at, Hashimu </w:t>
    </w:r>
    <w:r w:rsidR="00993229">
      <w:rPr>
        <w:noProof/>
      </w:rPr>
      <mc:AlternateContent>
        <mc:Choice Requires="wps">
          <w:drawing>
            <wp:anchor distT="0" distB="0" distL="114300" distR="114300" simplePos="0" relativeHeight="251659264" behindDoc="1" locked="0" layoutInCell="1" allowOverlap="1" wp14:anchorId="0A625763" wp14:editId="455A0A07">
              <wp:simplePos x="0" y="0"/>
              <wp:positionH relativeFrom="page">
                <wp:posOffset>807085</wp:posOffset>
              </wp:positionH>
              <wp:positionV relativeFrom="page">
                <wp:posOffset>1019810</wp:posOffset>
              </wp:positionV>
              <wp:extent cx="5957570" cy="0"/>
              <wp:effectExtent l="0" t="0" r="11430" b="12700"/>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5757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44FB7E4C" id="Line 5" o:spid="_x0000_s1026" style="position:absolute;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55pt,80.3pt" to="532.65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" strokecolor="#231f20" strokeweight=".5pt">
              <o:lock v:ext="edit" shapetype="f"/>
              <w10:wrap anchorx="page" anchory="page"/>
            </v:line>
          </w:pict>
        </mc:Fallback>
      </mc:AlternateContent>
    </w:r>
  </w:p>
  <w:p w14:paraId="52A68DC7" w14:textId="77777777" w:rsidR="00687C9C" w:rsidRPr="00CA6B1F" w:rsidRDefault="00687C9C" w:rsidP="00CA6B1F">
    <w:pPr>
      <w:pStyle w:val="BodyText"/>
      <w:spacing w:before="17"/>
      <w:ind w:left="20"/>
      <w:jc w:val="right"/>
      <w:rPr>
        <w:rFonts w:ascii="Trebuchet MS" w:hAnsi="Trebuchet MS"/>
        <w:color w:val="231F20"/>
        <w:w w:val="9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16626216"/>
      <w:docPartObj>
        <w:docPartGallery w:val="Page Numbers (Top of Page)"/>
        <w:docPartUnique/>
      </w:docPartObj>
    </w:sdtPr>
    <w:sdtEndPr>
      <w:rPr>
        <w:rStyle w:val="PageNumber"/>
      </w:rPr>
    </w:sdtEndPr>
    <w:sdtContent>
      <w:p w14:paraId="3EF914A5" w14:textId="293629DC" w:rsidR="00C05EAE" w:rsidRDefault="00C05EAE" w:rsidP="00FE43F8">
        <w:pPr>
          <w:pStyle w:val="Head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separate"/>
        </w:r>
        <w:r w:rsidR="00466506">
          <w:rPr>
            <w:rStyle w:val="PageNumber"/>
            <w:noProof/>
          </w:rPr>
          <w:t>19</w:t>
        </w:r>
        <w:r>
          <w:rPr>
            <w:rStyle w:val="PageNumber"/>
          </w:rPr>
          <w:fldChar w:fldCharType="end"/>
        </w:r>
      </w:p>
    </w:sdtContent>
  </w:sdt>
  <w:p w14:paraId="59404201" w14:textId="51E26C59" w:rsidR="00C05EAE" w:rsidRDefault="00AA7FB6" w:rsidP="00921E0F">
    <w:pPr>
      <w:pStyle w:val="BodyText"/>
      <w:spacing w:before="17"/>
      <w:ind w:left="20"/>
      <w:jc w:val="left"/>
      <w:rPr>
        <w:rFonts w:ascii="Trebuchet MS" w:hAnsi="Trebuchet MS"/>
        <w:color w:val="231F20"/>
        <w:spacing w:val="-1"/>
        <w:w w:val="90"/>
      </w:rPr>
    </w:pPr>
    <w:r w:rsidRPr="00AA7FB6">
      <w:rPr>
        <w:rFonts w:ascii="Trebuchet MS" w:hAnsi="Trebuchet MS"/>
        <w:color w:val="231F20"/>
        <w:spacing w:val="-1"/>
        <w:w w:val="90"/>
      </w:rPr>
      <w:t>Islamic Law, Waqf, Sustainable Agriculture, and Ecological Food Security</w:t>
    </w:r>
  </w:p>
  <w:p w14:paraId="59C8E278" w14:textId="77777777" w:rsidR="007E796B" w:rsidRDefault="00993229" w:rsidP="007E796B">
    <w:pPr>
      <w:pStyle w:val="BodyText"/>
      <w:tabs>
        <w:tab w:val="left" w:pos="6060"/>
      </w:tabs>
      <w:spacing w:before="17"/>
      <w:ind w:left="20"/>
      <w:jc w:val="left"/>
      <w:rPr>
        <w:rFonts w:ascii="Trebuchet MS" w:hAnsi="Trebuchet MS"/>
        <w:color w:val="231F20"/>
        <w:spacing w:val="-1"/>
        <w:w w:val="90"/>
      </w:rPr>
    </w:pPr>
    <w:r>
      <w:rPr>
        <w:rFonts w:ascii="Trebuchet MS" w:hAnsi="Trebuchet MS"/>
        <w:color w:val="231F20"/>
        <w:spacing w:val="-1"/>
        <w:w w:val="90"/>
      </w:rPr>
      <w:tab/>
    </w:r>
  </w:p>
  <w:p w14:paraId="294C4FF5" w14:textId="11ED5B01" w:rsidR="00687C9C" w:rsidRPr="007E796B" w:rsidRDefault="000432B5" w:rsidP="007E796B">
    <w:pPr>
      <w:pStyle w:val="BodyText"/>
      <w:tabs>
        <w:tab w:val="left" w:pos="6060"/>
      </w:tabs>
      <w:spacing w:before="17"/>
      <w:ind w:left="20"/>
      <w:jc w:val="left"/>
      <w:rPr>
        <w:rFonts w:ascii="Trebuchet MS" w:hAnsi="Trebuchet MS"/>
        <w:color w:val="231F20"/>
        <w:spacing w:val="-1"/>
        <w:w w:val="90"/>
      </w:rPr>
    </w:pPr>
    <w:r>
      <w:rPr>
        <w:noProof/>
      </w:rPr>
      <mc:AlternateContent>
        <mc:Choice Requires="wps">
          <w:drawing>
            <wp:anchor distT="0" distB="0" distL="114300" distR="114300" simplePos="0" relativeHeight="251661312" behindDoc="1" locked="0" layoutInCell="1" allowOverlap="1" wp14:anchorId="13450A49" wp14:editId="52A8E83E">
              <wp:simplePos x="0" y="0"/>
              <wp:positionH relativeFrom="page">
                <wp:posOffset>1083212</wp:posOffset>
              </wp:positionH>
              <wp:positionV relativeFrom="page">
                <wp:posOffset>1069145</wp:posOffset>
              </wp:positionV>
              <wp:extent cx="5444197" cy="0"/>
              <wp:effectExtent l="0" t="0" r="17145" b="1270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444197"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A456C" id="Line 5" o:spid="_x0000_s1026" style="position:absolute;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3pt,84.2pt" to="514pt,84.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" strokecolor="#231f20" strokeweight=".5pt">
              <o:lock v:ext="edit" shapetype="f"/>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4"/>
      <w:gridCol w:w="4724"/>
    </w:tblGrid>
    <w:tr w:rsidR="00C80CA8" w:rsidRPr="004F331B" w14:paraId="597E4ECF" w14:textId="77777777" w:rsidTr="00C80CA8">
      <w:trPr>
        <w:trHeight w:val="1834"/>
      </w:trPr>
      <w:tc>
        <w:tcPr>
          <w:tcW w:w="1696" w:type="dxa"/>
        </w:tcPr>
        <w:p w14:paraId="4F3F7583" w14:textId="684C8FBD" w:rsidR="002736FA" w:rsidRPr="004F331B" w:rsidRDefault="00C80CA8" w:rsidP="002736FA">
          <w:pPr>
            <w:tabs>
              <w:tab w:val="left" w:pos="1408"/>
            </w:tabs>
            <w:rPr>
              <w:color w:val="231F20"/>
            </w:rPr>
          </w:pPr>
          <w:r>
            <w:rPr>
              <w:noProof/>
              <w:color w:val="231F20"/>
              <w:lang w:val="en-US"/>
            </w:rPr>
            <w:drawing>
              <wp:inline distT="0" distB="0" distL="0" distR="0" wp14:anchorId="645D0BB8" wp14:editId="60977D37">
                <wp:extent cx="2266212" cy="842211"/>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01535" name="Picture 472001535"/>
                        <pic:cNvPicPr/>
                      </pic:nvPicPr>
                      <pic:blipFill>
                        <a:blip r:embed="rId1">
                          <a:extLst>
                            <a:ext uri="{28A0092B-C50C-407E-A947-70E740481C1C}">
                              <a14:useLocalDpi xmlns:a14="http://schemas.microsoft.com/office/drawing/2010/main" val="0"/>
                            </a:ext>
                          </a:extLst>
                        </a:blip>
                        <a:stretch>
                          <a:fillRect/>
                        </a:stretch>
                      </pic:blipFill>
                      <pic:spPr>
                        <a:xfrm>
                          <a:off x="0" y="0"/>
                          <a:ext cx="2288626" cy="850541"/>
                        </a:xfrm>
                        <a:prstGeom prst="rect">
                          <a:avLst/>
                        </a:prstGeom>
                      </pic:spPr>
                    </pic:pic>
                  </a:graphicData>
                </a:graphic>
              </wp:inline>
            </w:drawing>
          </w:r>
        </w:p>
      </w:tc>
      <w:tc>
        <w:tcPr>
          <w:tcW w:w="7660" w:type="dxa"/>
        </w:tcPr>
        <w:p w14:paraId="7AB30151" w14:textId="77777777" w:rsidR="001D3379" w:rsidRDefault="001D3379" w:rsidP="00C80CA8">
          <w:pPr>
            <w:pStyle w:val="BodyText"/>
            <w:spacing w:before="61" w:line="276" w:lineRule="auto"/>
            <w:ind w:right="-104"/>
            <w:jc w:val="right"/>
            <w:rPr>
              <w:rFonts w:ascii="Arial" w:eastAsia="Times New Roman" w:hAnsi="Times New Roman" w:cs="Times New Roman"/>
              <w:b/>
              <w:color w:val="231F20"/>
              <w:sz w:val="22"/>
              <w:szCs w:val="22"/>
              <w:lang w:val="en-ID"/>
            </w:rPr>
          </w:pPr>
          <w:r w:rsidRPr="001D3379">
            <w:rPr>
              <w:rFonts w:ascii="Arial" w:eastAsia="Times New Roman" w:hAnsi="Times New Roman" w:cs="Times New Roman"/>
              <w:b/>
              <w:color w:val="231F20"/>
              <w:sz w:val="22"/>
              <w:szCs w:val="22"/>
              <w:lang w:val="en-ID"/>
            </w:rPr>
            <w:t xml:space="preserve">International Seminar on Sharia, </w:t>
          </w:r>
        </w:p>
        <w:p w14:paraId="2633820A" w14:textId="268B1049" w:rsidR="002736FA" w:rsidRPr="00431944" w:rsidRDefault="001D3379" w:rsidP="002736FA">
          <w:pPr>
            <w:pStyle w:val="BodyText"/>
            <w:spacing w:before="61" w:line="276" w:lineRule="auto"/>
            <w:ind w:right="-104"/>
            <w:jc w:val="right"/>
            <w:rPr>
              <w:rFonts w:asciiTheme="minorHAnsi" w:hAnsiTheme="minorHAnsi" w:cstheme="minorHAnsi"/>
            </w:rPr>
          </w:pPr>
          <w:r w:rsidRPr="001D3379">
            <w:rPr>
              <w:rFonts w:ascii="Arial" w:eastAsia="Times New Roman" w:hAnsi="Times New Roman" w:cs="Times New Roman"/>
              <w:b/>
              <w:color w:val="231F20"/>
              <w:sz w:val="22"/>
              <w:szCs w:val="22"/>
              <w:lang w:val="en-ID"/>
            </w:rPr>
            <w:t>Law and Muslim Society</w:t>
          </w:r>
          <w:r>
            <w:rPr>
              <w:rFonts w:ascii="Arial" w:eastAsia="Times New Roman" w:hAnsi="Times New Roman" w:cs="Times New Roman"/>
              <w:b/>
              <w:color w:val="231F20"/>
              <w:sz w:val="22"/>
              <w:szCs w:val="22"/>
              <w:lang w:val="en-ID"/>
            </w:rPr>
            <w:br/>
          </w:r>
          <w:r w:rsidR="002736FA" w:rsidRPr="00431944">
            <w:rPr>
              <w:color w:val="231F20"/>
            </w:rPr>
            <w:t>Vol</w:t>
          </w:r>
          <w:r w:rsidR="002736FA" w:rsidRPr="00431944">
            <w:rPr>
              <w:rFonts w:asciiTheme="minorHAnsi" w:hAnsiTheme="minorHAnsi" w:cstheme="minorHAnsi"/>
              <w:shd w:val="clear" w:color="auto" w:fill="FFFFFF"/>
            </w:rPr>
            <w:t xml:space="preserve">. </w:t>
          </w:r>
          <w:r w:rsidR="00FE09A3">
            <w:rPr>
              <w:rFonts w:asciiTheme="minorHAnsi" w:hAnsiTheme="minorHAnsi" w:cstheme="minorHAnsi"/>
              <w:shd w:val="clear" w:color="auto" w:fill="FFFFFF"/>
            </w:rPr>
            <w:t>1</w:t>
          </w:r>
          <w:r w:rsidR="002736FA" w:rsidRPr="00431944">
            <w:rPr>
              <w:rFonts w:asciiTheme="minorHAnsi" w:hAnsiTheme="minorHAnsi" w:cstheme="minorHAnsi"/>
              <w:shd w:val="clear" w:color="auto" w:fill="FFFFFF"/>
            </w:rPr>
            <w:t xml:space="preserve">, </w:t>
          </w:r>
          <w:r w:rsidR="00CA15C5">
            <w:rPr>
              <w:rFonts w:asciiTheme="minorHAnsi" w:hAnsiTheme="minorHAnsi" w:cstheme="minorHAnsi"/>
              <w:color w:val="231F20"/>
            </w:rPr>
            <w:t>Number</w:t>
          </w:r>
          <w:r w:rsidR="002736FA" w:rsidRPr="00431944">
            <w:rPr>
              <w:rFonts w:asciiTheme="minorHAnsi" w:hAnsiTheme="minorHAnsi" w:cstheme="minorHAnsi"/>
              <w:shd w:val="clear" w:color="auto" w:fill="FFFFFF"/>
            </w:rPr>
            <w:t xml:space="preserve"> 1, 202</w:t>
          </w:r>
          <w:r w:rsidR="000432B5">
            <w:rPr>
              <w:rFonts w:asciiTheme="minorHAnsi" w:hAnsiTheme="minorHAnsi" w:cstheme="minorHAnsi"/>
              <w:shd w:val="clear" w:color="auto" w:fill="FFFFFF"/>
            </w:rPr>
            <w:t>6</w:t>
          </w:r>
          <w:r w:rsidR="00EA5C34">
            <w:rPr>
              <w:rFonts w:asciiTheme="minorHAnsi" w:hAnsiTheme="minorHAnsi" w:cstheme="minorHAnsi"/>
              <w:shd w:val="clear" w:color="auto" w:fill="FFFFFF"/>
            </w:rPr>
            <w:t>, pp</w:t>
          </w:r>
          <w:r w:rsidR="00C0010E">
            <w:rPr>
              <w:rFonts w:asciiTheme="minorHAnsi" w:hAnsiTheme="minorHAnsi" w:cstheme="minorHAnsi"/>
              <w:shd w:val="clear" w:color="auto" w:fill="FFFFFF"/>
            </w:rPr>
            <w:t xml:space="preserve">. </w:t>
          </w:r>
          <w:r w:rsidR="000432B5">
            <w:rPr>
              <w:rFonts w:asciiTheme="minorHAnsi" w:hAnsiTheme="minorHAnsi" w:cstheme="minorHAnsi"/>
              <w:shd w:val="clear" w:color="auto" w:fill="FFFFFF"/>
            </w:rPr>
            <w:t>222</w:t>
          </w:r>
          <w:r w:rsidR="00C0010E">
            <w:rPr>
              <w:rFonts w:asciiTheme="minorHAnsi" w:hAnsiTheme="minorHAnsi" w:cstheme="minorHAnsi"/>
              <w:shd w:val="clear" w:color="auto" w:fill="FFFFFF"/>
            </w:rPr>
            <w:t>-</w:t>
          </w:r>
          <w:r w:rsidR="000432B5">
            <w:rPr>
              <w:rFonts w:asciiTheme="minorHAnsi" w:hAnsiTheme="minorHAnsi" w:cstheme="minorHAnsi"/>
              <w:shd w:val="clear" w:color="auto" w:fill="FFFFFF"/>
            </w:rPr>
            <w:t>235</w:t>
          </w:r>
        </w:p>
        <w:p w14:paraId="12D6E791" w14:textId="6A6CE018" w:rsidR="002736FA" w:rsidRPr="00C80CA8" w:rsidRDefault="00936CF5" w:rsidP="00C80CA8">
          <w:pPr>
            <w:pStyle w:val="BodyText"/>
            <w:spacing w:before="61" w:line="276" w:lineRule="auto"/>
            <w:ind w:right="-104"/>
            <w:jc w:val="right"/>
            <w:rPr>
              <w:color w:val="231F20"/>
            </w:rPr>
          </w:pPr>
          <w:r>
            <w:rPr>
              <w:color w:val="231F20"/>
            </w:rPr>
            <w:t xml:space="preserve"> </w:t>
          </w:r>
        </w:p>
      </w:tc>
    </w:tr>
  </w:tbl>
  <w:p w14:paraId="36A767A2" w14:textId="77777777" w:rsidR="002736FA" w:rsidRDefault="002736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F1B8D"/>
    <w:multiLevelType w:val="multilevel"/>
    <w:tmpl w:val="56B4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B08"/>
    <w:multiLevelType w:val="multilevel"/>
    <w:tmpl w:val="B1AC9DF2"/>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5635FB"/>
    <w:multiLevelType w:val="hybridMultilevel"/>
    <w:tmpl w:val="50C2732A"/>
    <w:lvl w:ilvl="0" w:tplc="EC90F102">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A031CD"/>
    <w:multiLevelType w:val="multilevel"/>
    <w:tmpl w:val="7E307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DDB"/>
    <w:rsid w:val="00001525"/>
    <w:rsid w:val="00006037"/>
    <w:rsid w:val="00013B47"/>
    <w:rsid w:val="00015123"/>
    <w:rsid w:val="00016250"/>
    <w:rsid w:val="000163A2"/>
    <w:rsid w:val="0002512F"/>
    <w:rsid w:val="0003186D"/>
    <w:rsid w:val="000360F7"/>
    <w:rsid w:val="000432B5"/>
    <w:rsid w:val="00055D70"/>
    <w:rsid w:val="0006491E"/>
    <w:rsid w:val="000671E4"/>
    <w:rsid w:val="000739AD"/>
    <w:rsid w:val="00076CED"/>
    <w:rsid w:val="00077217"/>
    <w:rsid w:val="00097B7A"/>
    <w:rsid w:val="000D1B6C"/>
    <w:rsid w:val="000F0142"/>
    <w:rsid w:val="00105D81"/>
    <w:rsid w:val="00117B10"/>
    <w:rsid w:val="001321BC"/>
    <w:rsid w:val="00173104"/>
    <w:rsid w:val="001841F5"/>
    <w:rsid w:val="0019521F"/>
    <w:rsid w:val="001A57C7"/>
    <w:rsid w:val="001A7FAC"/>
    <w:rsid w:val="001B5E99"/>
    <w:rsid w:val="001D3379"/>
    <w:rsid w:val="001E4D1E"/>
    <w:rsid w:val="001F16B4"/>
    <w:rsid w:val="00210A93"/>
    <w:rsid w:val="002154A5"/>
    <w:rsid w:val="0021642A"/>
    <w:rsid w:val="00220C12"/>
    <w:rsid w:val="002230B4"/>
    <w:rsid w:val="002648BF"/>
    <w:rsid w:val="00266750"/>
    <w:rsid w:val="00270330"/>
    <w:rsid w:val="002736FA"/>
    <w:rsid w:val="00280DC0"/>
    <w:rsid w:val="002965BB"/>
    <w:rsid w:val="002A0BBE"/>
    <w:rsid w:val="002B7876"/>
    <w:rsid w:val="002C3E59"/>
    <w:rsid w:val="002C4107"/>
    <w:rsid w:val="002C7F98"/>
    <w:rsid w:val="002D6AA1"/>
    <w:rsid w:val="002E3D4C"/>
    <w:rsid w:val="00307055"/>
    <w:rsid w:val="003166ED"/>
    <w:rsid w:val="00320BC9"/>
    <w:rsid w:val="003437F1"/>
    <w:rsid w:val="003556F3"/>
    <w:rsid w:val="003561D0"/>
    <w:rsid w:val="00376A29"/>
    <w:rsid w:val="00376E41"/>
    <w:rsid w:val="00392BC5"/>
    <w:rsid w:val="003C18C3"/>
    <w:rsid w:val="003C1AAE"/>
    <w:rsid w:val="003D369B"/>
    <w:rsid w:val="00401553"/>
    <w:rsid w:val="00404E2C"/>
    <w:rsid w:val="00412B92"/>
    <w:rsid w:val="00431944"/>
    <w:rsid w:val="0043240B"/>
    <w:rsid w:val="00434692"/>
    <w:rsid w:val="00466506"/>
    <w:rsid w:val="0048553E"/>
    <w:rsid w:val="00497D83"/>
    <w:rsid w:val="004A0A5E"/>
    <w:rsid w:val="004F2C2C"/>
    <w:rsid w:val="004F331B"/>
    <w:rsid w:val="00501896"/>
    <w:rsid w:val="00512B64"/>
    <w:rsid w:val="00527F79"/>
    <w:rsid w:val="005336EA"/>
    <w:rsid w:val="005503ED"/>
    <w:rsid w:val="005514FE"/>
    <w:rsid w:val="005647A6"/>
    <w:rsid w:val="00573454"/>
    <w:rsid w:val="00581819"/>
    <w:rsid w:val="00596EE4"/>
    <w:rsid w:val="005C30EF"/>
    <w:rsid w:val="005D67D6"/>
    <w:rsid w:val="005F10F8"/>
    <w:rsid w:val="005F3036"/>
    <w:rsid w:val="00617317"/>
    <w:rsid w:val="00625917"/>
    <w:rsid w:val="006348C3"/>
    <w:rsid w:val="00637885"/>
    <w:rsid w:val="00660752"/>
    <w:rsid w:val="006700C9"/>
    <w:rsid w:val="00684E37"/>
    <w:rsid w:val="00686F62"/>
    <w:rsid w:val="00687C9C"/>
    <w:rsid w:val="006A1762"/>
    <w:rsid w:val="006A7A1B"/>
    <w:rsid w:val="006B0A57"/>
    <w:rsid w:val="006B417D"/>
    <w:rsid w:val="006B4E15"/>
    <w:rsid w:val="006C3155"/>
    <w:rsid w:val="006F0550"/>
    <w:rsid w:val="006F2FAA"/>
    <w:rsid w:val="007043DD"/>
    <w:rsid w:val="00714605"/>
    <w:rsid w:val="00714646"/>
    <w:rsid w:val="0073063A"/>
    <w:rsid w:val="00734EFB"/>
    <w:rsid w:val="0076224C"/>
    <w:rsid w:val="00777E8D"/>
    <w:rsid w:val="007E2201"/>
    <w:rsid w:val="007E2814"/>
    <w:rsid w:val="007E3B83"/>
    <w:rsid w:val="007E796B"/>
    <w:rsid w:val="00844977"/>
    <w:rsid w:val="008A62A3"/>
    <w:rsid w:val="008A770D"/>
    <w:rsid w:val="008C0C5C"/>
    <w:rsid w:val="008C2E6D"/>
    <w:rsid w:val="008E6B1B"/>
    <w:rsid w:val="008F752B"/>
    <w:rsid w:val="00900A0C"/>
    <w:rsid w:val="00902281"/>
    <w:rsid w:val="00904011"/>
    <w:rsid w:val="00920FD9"/>
    <w:rsid w:val="00921E0F"/>
    <w:rsid w:val="00931586"/>
    <w:rsid w:val="00932FD6"/>
    <w:rsid w:val="00936CF5"/>
    <w:rsid w:val="00940641"/>
    <w:rsid w:val="009511D0"/>
    <w:rsid w:val="009516B8"/>
    <w:rsid w:val="00993229"/>
    <w:rsid w:val="009943CA"/>
    <w:rsid w:val="009B267B"/>
    <w:rsid w:val="009D3578"/>
    <w:rsid w:val="009E5312"/>
    <w:rsid w:val="009E5F02"/>
    <w:rsid w:val="00A006B3"/>
    <w:rsid w:val="00A10879"/>
    <w:rsid w:val="00A63C8D"/>
    <w:rsid w:val="00A8182D"/>
    <w:rsid w:val="00A84C8D"/>
    <w:rsid w:val="00A971E6"/>
    <w:rsid w:val="00A97B21"/>
    <w:rsid w:val="00AA189D"/>
    <w:rsid w:val="00AA7FB6"/>
    <w:rsid w:val="00AB3638"/>
    <w:rsid w:val="00AB5C85"/>
    <w:rsid w:val="00B0236E"/>
    <w:rsid w:val="00B04DC6"/>
    <w:rsid w:val="00B23DDB"/>
    <w:rsid w:val="00B27A94"/>
    <w:rsid w:val="00B3342C"/>
    <w:rsid w:val="00B572E0"/>
    <w:rsid w:val="00B76790"/>
    <w:rsid w:val="00BA1183"/>
    <w:rsid w:val="00BF3D83"/>
    <w:rsid w:val="00C0010E"/>
    <w:rsid w:val="00C05EAE"/>
    <w:rsid w:val="00C06124"/>
    <w:rsid w:val="00C06BEA"/>
    <w:rsid w:val="00C072E3"/>
    <w:rsid w:val="00C10B47"/>
    <w:rsid w:val="00C11947"/>
    <w:rsid w:val="00C338A7"/>
    <w:rsid w:val="00C35736"/>
    <w:rsid w:val="00C80BB3"/>
    <w:rsid w:val="00C80CA8"/>
    <w:rsid w:val="00C823DE"/>
    <w:rsid w:val="00C8503D"/>
    <w:rsid w:val="00C860D8"/>
    <w:rsid w:val="00C91F7D"/>
    <w:rsid w:val="00CA15C5"/>
    <w:rsid w:val="00CA6B1F"/>
    <w:rsid w:val="00CC2F72"/>
    <w:rsid w:val="00CD02BB"/>
    <w:rsid w:val="00CE2C0A"/>
    <w:rsid w:val="00CF32DE"/>
    <w:rsid w:val="00CF5A7C"/>
    <w:rsid w:val="00D06316"/>
    <w:rsid w:val="00D072F8"/>
    <w:rsid w:val="00D14853"/>
    <w:rsid w:val="00D16B81"/>
    <w:rsid w:val="00D40481"/>
    <w:rsid w:val="00D42D1C"/>
    <w:rsid w:val="00D666DB"/>
    <w:rsid w:val="00D7065F"/>
    <w:rsid w:val="00DA1F6E"/>
    <w:rsid w:val="00DB0FF4"/>
    <w:rsid w:val="00DB394F"/>
    <w:rsid w:val="00DC44ED"/>
    <w:rsid w:val="00DF76BC"/>
    <w:rsid w:val="00E1122F"/>
    <w:rsid w:val="00E21E50"/>
    <w:rsid w:val="00E23409"/>
    <w:rsid w:val="00E35F9C"/>
    <w:rsid w:val="00E57311"/>
    <w:rsid w:val="00E75289"/>
    <w:rsid w:val="00E94022"/>
    <w:rsid w:val="00EA5C34"/>
    <w:rsid w:val="00EB2DBC"/>
    <w:rsid w:val="00EE35F1"/>
    <w:rsid w:val="00EF20CA"/>
    <w:rsid w:val="00F100BF"/>
    <w:rsid w:val="00F5044A"/>
    <w:rsid w:val="00F505B7"/>
    <w:rsid w:val="00F6355A"/>
    <w:rsid w:val="00F8186E"/>
    <w:rsid w:val="00F85263"/>
    <w:rsid w:val="00FA3588"/>
    <w:rsid w:val="00FB4248"/>
    <w:rsid w:val="00FE09A3"/>
    <w:rsid w:val="00FE127C"/>
    <w:rsid w:val="00FE1E30"/>
    <w:rsid w:val="00FE43F8"/>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261BD2"/>
  <w15:chartTrackingRefBased/>
  <w15:docId w15:val="{BE13CB9E-614D-F344-B098-DD773C4E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944"/>
    <w:rPr>
      <w:rFonts w:ascii="Times New Roman" w:eastAsia="Times New Roman" w:hAnsi="Times New Roman" w:cs="Times New Roman"/>
    </w:rPr>
  </w:style>
  <w:style w:type="paragraph" w:styleId="Heading1">
    <w:name w:val="heading 1"/>
    <w:basedOn w:val="Normal"/>
    <w:next w:val="Normal"/>
    <w:link w:val="Heading1Char"/>
    <w:uiPriority w:val="9"/>
    <w:qFormat/>
    <w:rsid w:val="00B04DC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0FD9"/>
    <w:pPr>
      <w:keepNext/>
      <w:keepLines/>
      <w:numPr>
        <w:numId w:val="1"/>
      </w:numPr>
      <w:spacing w:before="40"/>
      <w:ind w:left="360"/>
      <w:outlineLvl w:val="1"/>
    </w:pPr>
    <w:rPr>
      <w:rFonts w:asciiTheme="minorHAnsi" w:eastAsiaTheme="majorEastAsia" w:hAnsiTheme="minorHAnsi" w:cstheme="majorBidi"/>
      <w:b/>
      <w:szCs w:val="26"/>
    </w:rPr>
  </w:style>
  <w:style w:type="paragraph" w:styleId="Heading3">
    <w:name w:val="heading 3"/>
    <w:basedOn w:val="Normal"/>
    <w:next w:val="Normal"/>
    <w:link w:val="Heading3Char"/>
    <w:uiPriority w:val="9"/>
    <w:semiHidden/>
    <w:unhideWhenUsed/>
    <w:qFormat/>
    <w:rsid w:val="00AA7FB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7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77217"/>
    <w:pPr>
      <w:widowControl w:val="0"/>
      <w:autoSpaceDE w:val="0"/>
      <w:autoSpaceDN w:val="0"/>
      <w:jc w:val="both"/>
    </w:pPr>
    <w:rPr>
      <w:rFonts w:ascii="Calibri" w:eastAsia="Calibri" w:hAnsi="Calibri" w:cs="Calibri"/>
      <w:lang w:val="en-US"/>
    </w:rPr>
  </w:style>
  <w:style w:type="character" w:customStyle="1" w:styleId="BodyTextChar">
    <w:name w:val="Body Text Char"/>
    <w:basedOn w:val="DefaultParagraphFont"/>
    <w:link w:val="BodyText"/>
    <w:uiPriority w:val="1"/>
    <w:rsid w:val="00077217"/>
    <w:rPr>
      <w:rFonts w:ascii="Calibri" w:eastAsia="Calibri" w:hAnsi="Calibri" w:cs="Calibri"/>
      <w:lang w:val="en-US"/>
    </w:rPr>
  </w:style>
  <w:style w:type="character" w:customStyle="1" w:styleId="Heading1Char">
    <w:name w:val="Heading 1 Char"/>
    <w:basedOn w:val="DefaultParagraphFont"/>
    <w:link w:val="Heading1"/>
    <w:uiPriority w:val="9"/>
    <w:rsid w:val="00B04DC6"/>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B04DC6"/>
  </w:style>
  <w:style w:type="paragraph" w:styleId="Footer">
    <w:name w:val="footer"/>
    <w:basedOn w:val="Normal"/>
    <w:link w:val="FooterChar"/>
    <w:uiPriority w:val="99"/>
    <w:unhideWhenUsed/>
    <w:rsid w:val="00F8186E"/>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F8186E"/>
  </w:style>
  <w:style w:type="character" w:styleId="PageNumber">
    <w:name w:val="page number"/>
    <w:basedOn w:val="DefaultParagraphFont"/>
    <w:uiPriority w:val="99"/>
    <w:semiHidden/>
    <w:unhideWhenUsed/>
    <w:rsid w:val="00F8186E"/>
  </w:style>
  <w:style w:type="paragraph" w:styleId="Header">
    <w:name w:val="header"/>
    <w:basedOn w:val="Normal"/>
    <w:link w:val="HeaderChar"/>
    <w:uiPriority w:val="99"/>
    <w:unhideWhenUsed/>
    <w:rsid w:val="00013B47"/>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13B47"/>
  </w:style>
  <w:style w:type="paragraph" w:styleId="NormalWeb">
    <w:name w:val="Normal (Web)"/>
    <w:basedOn w:val="Normal"/>
    <w:uiPriority w:val="99"/>
    <w:unhideWhenUsed/>
    <w:rsid w:val="00404E2C"/>
    <w:pPr>
      <w:spacing w:before="100" w:beforeAutospacing="1" w:after="100" w:afterAutospacing="1"/>
    </w:pPr>
  </w:style>
  <w:style w:type="character" w:styleId="Hyperlink">
    <w:name w:val="Hyperlink"/>
    <w:basedOn w:val="DefaultParagraphFont"/>
    <w:uiPriority w:val="99"/>
    <w:unhideWhenUsed/>
    <w:rsid w:val="00EF20CA"/>
    <w:rPr>
      <w:color w:val="0000FF"/>
      <w:u w:val="single"/>
    </w:rPr>
  </w:style>
  <w:style w:type="character" w:customStyle="1" w:styleId="UnresolvedMention1">
    <w:name w:val="Unresolved Mention1"/>
    <w:basedOn w:val="DefaultParagraphFont"/>
    <w:uiPriority w:val="99"/>
    <w:semiHidden/>
    <w:unhideWhenUsed/>
    <w:rsid w:val="00D06316"/>
    <w:rPr>
      <w:color w:val="605E5C"/>
      <w:shd w:val="clear" w:color="auto" w:fill="E1DFDD"/>
    </w:rPr>
  </w:style>
  <w:style w:type="character" w:styleId="Strong">
    <w:name w:val="Strong"/>
    <w:basedOn w:val="DefaultParagraphFont"/>
    <w:uiPriority w:val="22"/>
    <w:qFormat/>
    <w:rsid w:val="00932FD6"/>
    <w:rPr>
      <w:b/>
      <w:bCs/>
    </w:rPr>
  </w:style>
  <w:style w:type="character" w:styleId="Emphasis">
    <w:name w:val="Emphasis"/>
    <w:basedOn w:val="DefaultParagraphFont"/>
    <w:uiPriority w:val="20"/>
    <w:qFormat/>
    <w:rsid w:val="00932FD6"/>
    <w:rPr>
      <w:i/>
      <w:iCs/>
    </w:rPr>
  </w:style>
  <w:style w:type="character" w:styleId="FootnoteReference">
    <w:name w:val="footnote reference"/>
    <w:uiPriority w:val="99"/>
    <w:semiHidden/>
    <w:unhideWhenUsed/>
    <w:rsid w:val="00932FD6"/>
    <w:rPr>
      <w:vertAlign w:val="superscript"/>
    </w:rPr>
  </w:style>
  <w:style w:type="paragraph" w:styleId="FootnoteText">
    <w:name w:val="footnote text"/>
    <w:link w:val="FootnoteTextChar"/>
    <w:uiPriority w:val="99"/>
    <w:semiHidden/>
    <w:unhideWhenUsed/>
    <w:rsid w:val="00932FD6"/>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932FD6"/>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501896"/>
    <w:rPr>
      <w:vertAlign w:val="superscript"/>
    </w:rPr>
  </w:style>
  <w:style w:type="character" w:customStyle="1" w:styleId="Heading2Char">
    <w:name w:val="Heading 2 Char"/>
    <w:basedOn w:val="DefaultParagraphFont"/>
    <w:link w:val="Heading2"/>
    <w:uiPriority w:val="9"/>
    <w:rsid w:val="00920FD9"/>
    <w:rPr>
      <w:rFonts w:eastAsiaTheme="majorEastAsia" w:cstheme="majorBidi"/>
      <w:b/>
      <w:szCs w:val="26"/>
    </w:rPr>
  </w:style>
  <w:style w:type="paragraph" w:customStyle="1" w:styleId="font-claude-response-body">
    <w:name w:val="font-claude-response-body"/>
    <w:basedOn w:val="Normal"/>
    <w:rsid w:val="00E94022"/>
    <w:pPr>
      <w:spacing w:before="100" w:beforeAutospacing="1" w:after="100" w:afterAutospacing="1"/>
    </w:pPr>
    <w:rPr>
      <w:lang w:val="en-US"/>
    </w:rPr>
  </w:style>
  <w:style w:type="paragraph" w:styleId="Bibliography">
    <w:name w:val="Bibliography"/>
    <w:basedOn w:val="Normal"/>
    <w:next w:val="Normal"/>
    <w:uiPriority w:val="37"/>
    <w:unhideWhenUsed/>
    <w:rsid w:val="00497D83"/>
    <w:pPr>
      <w:spacing w:line="480" w:lineRule="auto"/>
      <w:ind w:left="720" w:hanging="720"/>
    </w:pPr>
  </w:style>
  <w:style w:type="character" w:customStyle="1" w:styleId="Heading3Char">
    <w:name w:val="Heading 3 Char"/>
    <w:basedOn w:val="DefaultParagraphFont"/>
    <w:link w:val="Heading3"/>
    <w:uiPriority w:val="9"/>
    <w:semiHidden/>
    <w:rsid w:val="00AA7FB6"/>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72514">
      <w:bodyDiv w:val="1"/>
      <w:marLeft w:val="0"/>
      <w:marRight w:val="0"/>
      <w:marTop w:val="0"/>
      <w:marBottom w:val="0"/>
      <w:divBdr>
        <w:top w:val="none" w:sz="0" w:space="0" w:color="auto"/>
        <w:left w:val="none" w:sz="0" w:space="0" w:color="auto"/>
        <w:bottom w:val="none" w:sz="0" w:space="0" w:color="auto"/>
        <w:right w:val="none" w:sz="0" w:space="0" w:color="auto"/>
      </w:divBdr>
    </w:div>
    <w:div w:id="291985135">
      <w:bodyDiv w:val="1"/>
      <w:marLeft w:val="0"/>
      <w:marRight w:val="0"/>
      <w:marTop w:val="0"/>
      <w:marBottom w:val="0"/>
      <w:divBdr>
        <w:top w:val="none" w:sz="0" w:space="0" w:color="auto"/>
        <w:left w:val="none" w:sz="0" w:space="0" w:color="auto"/>
        <w:bottom w:val="none" w:sz="0" w:space="0" w:color="auto"/>
        <w:right w:val="none" w:sz="0" w:space="0" w:color="auto"/>
      </w:divBdr>
    </w:div>
    <w:div w:id="314994515">
      <w:bodyDiv w:val="1"/>
      <w:marLeft w:val="0"/>
      <w:marRight w:val="0"/>
      <w:marTop w:val="0"/>
      <w:marBottom w:val="0"/>
      <w:divBdr>
        <w:top w:val="none" w:sz="0" w:space="0" w:color="auto"/>
        <w:left w:val="none" w:sz="0" w:space="0" w:color="auto"/>
        <w:bottom w:val="none" w:sz="0" w:space="0" w:color="auto"/>
        <w:right w:val="none" w:sz="0" w:space="0" w:color="auto"/>
      </w:divBdr>
    </w:div>
    <w:div w:id="339165286">
      <w:bodyDiv w:val="1"/>
      <w:marLeft w:val="0"/>
      <w:marRight w:val="0"/>
      <w:marTop w:val="0"/>
      <w:marBottom w:val="0"/>
      <w:divBdr>
        <w:top w:val="none" w:sz="0" w:space="0" w:color="auto"/>
        <w:left w:val="none" w:sz="0" w:space="0" w:color="auto"/>
        <w:bottom w:val="none" w:sz="0" w:space="0" w:color="auto"/>
        <w:right w:val="none" w:sz="0" w:space="0" w:color="auto"/>
      </w:divBdr>
    </w:div>
    <w:div w:id="629022315">
      <w:bodyDiv w:val="1"/>
      <w:marLeft w:val="0"/>
      <w:marRight w:val="0"/>
      <w:marTop w:val="0"/>
      <w:marBottom w:val="0"/>
      <w:divBdr>
        <w:top w:val="none" w:sz="0" w:space="0" w:color="auto"/>
        <w:left w:val="none" w:sz="0" w:space="0" w:color="auto"/>
        <w:bottom w:val="none" w:sz="0" w:space="0" w:color="auto"/>
        <w:right w:val="none" w:sz="0" w:space="0" w:color="auto"/>
      </w:divBdr>
    </w:div>
    <w:div w:id="888493020">
      <w:bodyDiv w:val="1"/>
      <w:marLeft w:val="0"/>
      <w:marRight w:val="0"/>
      <w:marTop w:val="0"/>
      <w:marBottom w:val="0"/>
      <w:divBdr>
        <w:top w:val="none" w:sz="0" w:space="0" w:color="auto"/>
        <w:left w:val="none" w:sz="0" w:space="0" w:color="auto"/>
        <w:bottom w:val="none" w:sz="0" w:space="0" w:color="auto"/>
        <w:right w:val="none" w:sz="0" w:space="0" w:color="auto"/>
      </w:divBdr>
    </w:div>
    <w:div w:id="1107846750">
      <w:bodyDiv w:val="1"/>
      <w:marLeft w:val="0"/>
      <w:marRight w:val="0"/>
      <w:marTop w:val="0"/>
      <w:marBottom w:val="0"/>
      <w:divBdr>
        <w:top w:val="none" w:sz="0" w:space="0" w:color="auto"/>
        <w:left w:val="none" w:sz="0" w:space="0" w:color="auto"/>
        <w:bottom w:val="none" w:sz="0" w:space="0" w:color="auto"/>
        <w:right w:val="none" w:sz="0" w:space="0" w:color="auto"/>
      </w:divBdr>
    </w:div>
    <w:div w:id="1118987573">
      <w:bodyDiv w:val="1"/>
      <w:marLeft w:val="0"/>
      <w:marRight w:val="0"/>
      <w:marTop w:val="0"/>
      <w:marBottom w:val="0"/>
      <w:divBdr>
        <w:top w:val="none" w:sz="0" w:space="0" w:color="auto"/>
        <w:left w:val="none" w:sz="0" w:space="0" w:color="auto"/>
        <w:bottom w:val="none" w:sz="0" w:space="0" w:color="auto"/>
        <w:right w:val="none" w:sz="0" w:space="0" w:color="auto"/>
      </w:divBdr>
    </w:div>
    <w:div w:id="1144276049">
      <w:bodyDiv w:val="1"/>
      <w:marLeft w:val="0"/>
      <w:marRight w:val="0"/>
      <w:marTop w:val="0"/>
      <w:marBottom w:val="0"/>
      <w:divBdr>
        <w:top w:val="none" w:sz="0" w:space="0" w:color="auto"/>
        <w:left w:val="none" w:sz="0" w:space="0" w:color="auto"/>
        <w:bottom w:val="none" w:sz="0" w:space="0" w:color="auto"/>
        <w:right w:val="none" w:sz="0" w:space="0" w:color="auto"/>
      </w:divBdr>
      <w:divsChild>
        <w:div w:id="728840448">
          <w:marLeft w:val="0"/>
          <w:marRight w:val="0"/>
          <w:marTop w:val="0"/>
          <w:marBottom w:val="0"/>
          <w:divBdr>
            <w:top w:val="none" w:sz="0" w:space="0" w:color="auto"/>
            <w:left w:val="none" w:sz="0" w:space="0" w:color="auto"/>
            <w:bottom w:val="none" w:sz="0" w:space="0" w:color="auto"/>
            <w:right w:val="none" w:sz="0" w:space="0" w:color="auto"/>
          </w:divBdr>
          <w:divsChild>
            <w:div w:id="1127550161">
              <w:marLeft w:val="0"/>
              <w:marRight w:val="0"/>
              <w:marTop w:val="0"/>
              <w:marBottom w:val="0"/>
              <w:divBdr>
                <w:top w:val="none" w:sz="0" w:space="0" w:color="auto"/>
                <w:left w:val="none" w:sz="0" w:space="0" w:color="auto"/>
                <w:bottom w:val="none" w:sz="0" w:space="0" w:color="auto"/>
                <w:right w:val="none" w:sz="0" w:space="0" w:color="auto"/>
              </w:divBdr>
              <w:divsChild>
                <w:div w:id="1348870061">
                  <w:marLeft w:val="0"/>
                  <w:marRight w:val="0"/>
                  <w:marTop w:val="0"/>
                  <w:marBottom w:val="0"/>
                  <w:divBdr>
                    <w:top w:val="none" w:sz="0" w:space="0" w:color="auto"/>
                    <w:left w:val="none" w:sz="0" w:space="0" w:color="auto"/>
                    <w:bottom w:val="none" w:sz="0" w:space="0" w:color="auto"/>
                    <w:right w:val="none" w:sz="0" w:space="0" w:color="auto"/>
                  </w:divBdr>
                  <w:divsChild>
                    <w:div w:id="495538651">
                      <w:marLeft w:val="0"/>
                      <w:marRight w:val="0"/>
                      <w:marTop w:val="0"/>
                      <w:marBottom w:val="0"/>
                      <w:divBdr>
                        <w:top w:val="none" w:sz="0" w:space="0" w:color="auto"/>
                        <w:left w:val="none" w:sz="0" w:space="0" w:color="auto"/>
                        <w:bottom w:val="none" w:sz="0" w:space="0" w:color="auto"/>
                        <w:right w:val="none" w:sz="0" w:space="0" w:color="auto"/>
                      </w:divBdr>
                      <w:divsChild>
                        <w:div w:id="1941135534">
                          <w:marLeft w:val="0"/>
                          <w:marRight w:val="0"/>
                          <w:marTop w:val="0"/>
                          <w:marBottom w:val="0"/>
                          <w:divBdr>
                            <w:top w:val="none" w:sz="0" w:space="0" w:color="auto"/>
                            <w:left w:val="none" w:sz="0" w:space="0" w:color="auto"/>
                            <w:bottom w:val="none" w:sz="0" w:space="0" w:color="auto"/>
                            <w:right w:val="none" w:sz="0" w:space="0" w:color="auto"/>
                          </w:divBdr>
                          <w:divsChild>
                            <w:div w:id="425617054">
                              <w:marLeft w:val="0"/>
                              <w:marRight w:val="0"/>
                              <w:marTop w:val="0"/>
                              <w:marBottom w:val="0"/>
                              <w:divBdr>
                                <w:top w:val="none" w:sz="0" w:space="0" w:color="auto"/>
                                <w:left w:val="none" w:sz="0" w:space="0" w:color="auto"/>
                                <w:bottom w:val="none" w:sz="0" w:space="0" w:color="auto"/>
                                <w:right w:val="none" w:sz="0" w:space="0" w:color="auto"/>
                              </w:divBdr>
                              <w:divsChild>
                                <w:div w:id="1273172593">
                                  <w:marLeft w:val="0"/>
                                  <w:marRight w:val="0"/>
                                  <w:marTop w:val="0"/>
                                  <w:marBottom w:val="0"/>
                                  <w:divBdr>
                                    <w:top w:val="none" w:sz="0" w:space="0" w:color="auto"/>
                                    <w:left w:val="none" w:sz="0" w:space="0" w:color="auto"/>
                                    <w:bottom w:val="none" w:sz="0" w:space="0" w:color="auto"/>
                                    <w:right w:val="none" w:sz="0" w:space="0" w:color="auto"/>
                                  </w:divBdr>
                                  <w:divsChild>
                                    <w:div w:id="764955368">
                                      <w:marLeft w:val="0"/>
                                      <w:marRight w:val="0"/>
                                      <w:marTop w:val="0"/>
                                      <w:marBottom w:val="0"/>
                                      <w:divBdr>
                                        <w:top w:val="none" w:sz="0" w:space="0" w:color="auto"/>
                                        <w:left w:val="none" w:sz="0" w:space="0" w:color="auto"/>
                                        <w:bottom w:val="none" w:sz="0" w:space="0" w:color="auto"/>
                                        <w:right w:val="none" w:sz="0" w:space="0" w:color="auto"/>
                                      </w:divBdr>
                                      <w:divsChild>
                                        <w:div w:id="903226088">
                                          <w:marLeft w:val="0"/>
                                          <w:marRight w:val="0"/>
                                          <w:marTop w:val="0"/>
                                          <w:marBottom w:val="0"/>
                                          <w:divBdr>
                                            <w:top w:val="none" w:sz="0" w:space="0" w:color="auto"/>
                                            <w:left w:val="none" w:sz="0" w:space="0" w:color="auto"/>
                                            <w:bottom w:val="none" w:sz="0" w:space="0" w:color="auto"/>
                                            <w:right w:val="none" w:sz="0" w:space="0" w:color="auto"/>
                                          </w:divBdr>
                                          <w:divsChild>
                                            <w:div w:id="1518737281">
                                              <w:marLeft w:val="0"/>
                                              <w:marRight w:val="0"/>
                                              <w:marTop w:val="0"/>
                                              <w:marBottom w:val="0"/>
                                              <w:divBdr>
                                                <w:top w:val="none" w:sz="0" w:space="0" w:color="auto"/>
                                                <w:left w:val="none" w:sz="0" w:space="0" w:color="auto"/>
                                                <w:bottom w:val="none" w:sz="0" w:space="0" w:color="auto"/>
                                                <w:right w:val="none" w:sz="0" w:space="0" w:color="auto"/>
                                              </w:divBdr>
                                              <w:divsChild>
                                                <w:div w:id="44034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2383802">
          <w:marLeft w:val="0"/>
          <w:marRight w:val="0"/>
          <w:marTop w:val="0"/>
          <w:marBottom w:val="0"/>
          <w:divBdr>
            <w:top w:val="none" w:sz="0" w:space="0" w:color="auto"/>
            <w:left w:val="none" w:sz="0" w:space="0" w:color="auto"/>
            <w:bottom w:val="none" w:sz="0" w:space="0" w:color="auto"/>
            <w:right w:val="none" w:sz="0" w:space="0" w:color="auto"/>
          </w:divBdr>
          <w:divsChild>
            <w:div w:id="361521953">
              <w:marLeft w:val="0"/>
              <w:marRight w:val="0"/>
              <w:marTop w:val="0"/>
              <w:marBottom w:val="0"/>
              <w:divBdr>
                <w:top w:val="none" w:sz="0" w:space="0" w:color="auto"/>
                <w:left w:val="none" w:sz="0" w:space="0" w:color="auto"/>
                <w:bottom w:val="none" w:sz="0" w:space="0" w:color="auto"/>
                <w:right w:val="none" w:sz="0" w:space="0" w:color="auto"/>
              </w:divBdr>
              <w:divsChild>
                <w:div w:id="1288976749">
                  <w:marLeft w:val="0"/>
                  <w:marRight w:val="0"/>
                  <w:marTop w:val="0"/>
                  <w:marBottom w:val="0"/>
                  <w:divBdr>
                    <w:top w:val="none" w:sz="0" w:space="0" w:color="auto"/>
                    <w:left w:val="none" w:sz="0" w:space="0" w:color="auto"/>
                    <w:bottom w:val="none" w:sz="0" w:space="0" w:color="auto"/>
                    <w:right w:val="none" w:sz="0" w:space="0" w:color="auto"/>
                  </w:divBdr>
                  <w:divsChild>
                    <w:div w:id="83232086">
                      <w:marLeft w:val="0"/>
                      <w:marRight w:val="0"/>
                      <w:marTop w:val="0"/>
                      <w:marBottom w:val="0"/>
                      <w:divBdr>
                        <w:top w:val="none" w:sz="0" w:space="0" w:color="auto"/>
                        <w:left w:val="none" w:sz="0" w:space="0" w:color="auto"/>
                        <w:bottom w:val="none" w:sz="0" w:space="0" w:color="auto"/>
                        <w:right w:val="none" w:sz="0" w:space="0" w:color="auto"/>
                      </w:divBdr>
                      <w:divsChild>
                        <w:div w:id="2083943682">
                          <w:marLeft w:val="0"/>
                          <w:marRight w:val="0"/>
                          <w:marTop w:val="0"/>
                          <w:marBottom w:val="0"/>
                          <w:divBdr>
                            <w:top w:val="none" w:sz="0" w:space="0" w:color="auto"/>
                            <w:left w:val="none" w:sz="0" w:space="0" w:color="auto"/>
                            <w:bottom w:val="none" w:sz="0" w:space="0" w:color="auto"/>
                            <w:right w:val="none" w:sz="0" w:space="0" w:color="auto"/>
                          </w:divBdr>
                          <w:divsChild>
                            <w:div w:id="754473356">
                              <w:marLeft w:val="0"/>
                              <w:marRight w:val="0"/>
                              <w:marTop w:val="0"/>
                              <w:marBottom w:val="0"/>
                              <w:divBdr>
                                <w:top w:val="none" w:sz="0" w:space="0" w:color="auto"/>
                                <w:left w:val="none" w:sz="0" w:space="0" w:color="auto"/>
                                <w:bottom w:val="none" w:sz="0" w:space="0" w:color="auto"/>
                                <w:right w:val="none" w:sz="0" w:space="0" w:color="auto"/>
                              </w:divBdr>
                              <w:divsChild>
                                <w:div w:id="12774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815990">
      <w:bodyDiv w:val="1"/>
      <w:marLeft w:val="0"/>
      <w:marRight w:val="0"/>
      <w:marTop w:val="0"/>
      <w:marBottom w:val="0"/>
      <w:divBdr>
        <w:top w:val="none" w:sz="0" w:space="0" w:color="auto"/>
        <w:left w:val="none" w:sz="0" w:space="0" w:color="auto"/>
        <w:bottom w:val="none" w:sz="0" w:space="0" w:color="auto"/>
        <w:right w:val="none" w:sz="0" w:space="0" w:color="auto"/>
      </w:divBdr>
    </w:div>
    <w:div w:id="1167475945">
      <w:bodyDiv w:val="1"/>
      <w:marLeft w:val="0"/>
      <w:marRight w:val="0"/>
      <w:marTop w:val="0"/>
      <w:marBottom w:val="0"/>
      <w:divBdr>
        <w:top w:val="none" w:sz="0" w:space="0" w:color="auto"/>
        <w:left w:val="none" w:sz="0" w:space="0" w:color="auto"/>
        <w:bottom w:val="none" w:sz="0" w:space="0" w:color="auto"/>
        <w:right w:val="none" w:sz="0" w:space="0" w:color="auto"/>
      </w:divBdr>
    </w:div>
    <w:div w:id="1343703075">
      <w:bodyDiv w:val="1"/>
      <w:marLeft w:val="0"/>
      <w:marRight w:val="0"/>
      <w:marTop w:val="0"/>
      <w:marBottom w:val="0"/>
      <w:divBdr>
        <w:top w:val="none" w:sz="0" w:space="0" w:color="auto"/>
        <w:left w:val="none" w:sz="0" w:space="0" w:color="auto"/>
        <w:bottom w:val="none" w:sz="0" w:space="0" w:color="auto"/>
        <w:right w:val="none" w:sz="0" w:space="0" w:color="auto"/>
      </w:divBdr>
    </w:div>
    <w:div w:id="1410731492">
      <w:bodyDiv w:val="1"/>
      <w:marLeft w:val="0"/>
      <w:marRight w:val="0"/>
      <w:marTop w:val="0"/>
      <w:marBottom w:val="0"/>
      <w:divBdr>
        <w:top w:val="none" w:sz="0" w:space="0" w:color="auto"/>
        <w:left w:val="none" w:sz="0" w:space="0" w:color="auto"/>
        <w:bottom w:val="none" w:sz="0" w:space="0" w:color="auto"/>
        <w:right w:val="none" w:sz="0" w:space="0" w:color="auto"/>
      </w:divBdr>
    </w:div>
    <w:div w:id="1514228233">
      <w:bodyDiv w:val="1"/>
      <w:marLeft w:val="0"/>
      <w:marRight w:val="0"/>
      <w:marTop w:val="0"/>
      <w:marBottom w:val="0"/>
      <w:divBdr>
        <w:top w:val="none" w:sz="0" w:space="0" w:color="auto"/>
        <w:left w:val="none" w:sz="0" w:space="0" w:color="auto"/>
        <w:bottom w:val="none" w:sz="0" w:space="0" w:color="auto"/>
        <w:right w:val="none" w:sz="0" w:space="0" w:color="auto"/>
      </w:divBdr>
    </w:div>
    <w:div w:id="1542785037">
      <w:bodyDiv w:val="1"/>
      <w:marLeft w:val="0"/>
      <w:marRight w:val="0"/>
      <w:marTop w:val="0"/>
      <w:marBottom w:val="0"/>
      <w:divBdr>
        <w:top w:val="none" w:sz="0" w:space="0" w:color="auto"/>
        <w:left w:val="none" w:sz="0" w:space="0" w:color="auto"/>
        <w:bottom w:val="none" w:sz="0" w:space="0" w:color="auto"/>
        <w:right w:val="none" w:sz="0" w:space="0" w:color="auto"/>
      </w:divBdr>
    </w:div>
    <w:div w:id="1550916084">
      <w:bodyDiv w:val="1"/>
      <w:marLeft w:val="0"/>
      <w:marRight w:val="0"/>
      <w:marTop w:val="0"/>
      <w:marBottom w:val="0"/>
      <w:divBdr>
        <w:top w:val="none" w:sz="0" w:space="0" w:color="auto"/>
        <w:left w:val="none" w:sz="0" w:space="0" w:color="auto"/>
        <w:bottom w:val="none" w:sz="0" w:space="0" w:color="auto"/>
        <w:right w:val="none" w:sz="0" w:space="0" w:color="auto"/>
      </w:divBdr>
    </w:div>
    <w:div w:id="1678919142">
      <w:bodyDiv w:val="1"/>
      <w:marLeft w:val="0"/>
      <w:marRight w:val="0"/>
      <w:marTop w:val="0"/>
      <w:marBottom w:val="0"/>
      <w:divBdr>
        <w:top w:val="none" w:sz="0" w:space="0" w:color="auto"/>
        <w:left w:val="none" w:sz="0" w:space="0" w:color="auto"/>
        <w:bottom w:val="none" w:sz="0" w:space="0" w:color="auto"/>
        <w:right w:val="none" w:sz="0" w:space="0" w:color="auto"/>
      </w:divBdr>
    </w:div>
    <w:div w:id="1729500077">
      <w:bodyDiv w:val="1"/>
      <w:marLeft w:val="0"/>
      <w:marRight w:val="0"/>
      <w:marTop w:val="0"/>
      <w:marBottom w:val="0"/>
      <w:divBdr>
        <w:top w:val="none" w:sz="0" w:space="0" w:color="auto"/>
        <w:left w:val="none" w:sz="0" w:space="0" w:color="auto"/>
        <w:bottom w:val="none" w:sz="0" w:space="0" w:color="auto"/>
        <w:right w:val="none" w:sz="0" w:space="0" w:color="auto"/>
      </w:divBdr>
    </w:div>
    <w:div w:id="1733120389">
      <w:bodyDiv w:val="1"/>
      <w:marLeft w:val="0"/>
      <w:marRight w:val="0"/>
      <w:marTop w:val="0"/>
      <w:marBottom w:val="0"/>
      <w:divBdr>
        <w:top w:val="none" w:sz="0" w:space="0" w:color="auto"/>
        <w:left w:val="none" w:sz="0" w:space="0" w:color="auto"/>
        <w:bottom w:val="none" w:sz="0" w:space="0" w:color="auto"/>
        <w:right w:val="none" w:sz="0" w:space="0" w:color="auto"/>
      </w:divBdr>
    </w:div>
    <w:div w:id="1791820898">
      <w:bodyDiv w:val="1"/>
      <w:marLeft w:val="0"/>
      <w:marRight w:val="0"/>
      <w:marTop w:val="0"/>
      <w:marBottom w:val="0"/>
      <w:divBdr>
        <w:top w:val="none" w:sz="0" w:space="0" w:color="auto"/>
        <w:left w:val="none" w:sz="0" w:space="0" w:color="auto"/>
        <w:bottom w:val="none" w:sz="0" w:space="0" w:color="auto"/>
        <w:right w:val="none" w:sz="0" w:space="0" w:color="auto"/>
      </w:divBdr>
    </w:div>
    <w:div w:id="1919751652">
      <w:bodyDiv w:val="1"/>
      <w:marLeft w:val="0"/>
      <w:marRight w:val="0"/>
      <w:marTop w:val="0"/>
      <w:marBottom w:val="0"/>
      <w:divBdr>
        <w:top w:val="none" w:sz="0" w:space="0" w:color="auto"/>
        <w:left w:val="none" w:sz="0" w:space="0" w:color="auto"/>
        <w:bottom w:val="none" w:sz="0" w:space="0" w:color="auto"/>
        <w:right w:val="none" w:sz="0" w:space="0" w:color="auto"/>
      </w:divBdr>
    </w:div>
    <w:div w:id="204224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ubakaradamu1980@gmail.com" TargetMode="External"/><Relationship Id="rId13" Type="http://schemas.openxmlformats.org/officeDocument/2006/relationships/hyperlink" Target="https://doi.org/10.20885/jielariba.vol11.iss1.art9" TargetMode="External"/><Relationship Id="rId18" Type="http://schemas.openxmlformats.org/officeDocument/2006/relationships/hyperlink" Target="https://doi.org/10.29300/madania.v28i1.459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20473/jebis.v11i1.64274" TargetMode="External"/><Relationship Id="rId17" Type="http://schemas.openxmlformats.org/officeDocument/2006/relationships/hyperlink" Target="https://doi.org/10.21154/joie.v5i1.10289"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24235/jm.v10i2.2215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060/cd6008en"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31098/issues.v4i2.2967" TargetMode="External"/><Relationship Id="rId23" Type="http://schemas.openxmlformats.org/officeDocument/2006/relationships/footer" Target="footer2.xml"/><Relationship Id="rId10" Type="http://schemas.openxmlformats.org/officeDocument/2006/relationships/hyperlink" Target="https://doi.org/10.58764/j.prwkl.2025.3.137" TargetMode="External"/><Relationship Id="rId19" Type="http://schemas.openxmlformats.org/officeDocument/2006/relationships/hyperlink" Target="https://doi.org/10.47411/al-awqaf.v13i1.96" TargetMode="External"/><Relationship Id="rId4" Type="http://schemas.openxmlformats.org/officeDocument/2006/relationships/settings" Target="settings.xml"/><Relationship Id="rId9" Type="http://schemas.openxmlformats.org/officeDocument/2006/relationships/hyperlink" Target="https://doi.org/10.22373/tafse.v10i2.33586" TargetMode="External"/><Relationship Id="rId14" Type="http://schemas.openxmlformats.org/officeDocument/2006/relationships/hyperlink" Target="https://doi.org/10.58764/j.im.2025.6.126"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0C5C802-25AD-6E4C-BAA3-784FB7093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14</Pages>
  <Words>5808</Words>
  <Characters>33108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Microsoft Office User</cp:lastModifiedBy>
  <cp:revision>24</cp:revision>
  <cp:lastPrinted>2024-03-14T23:11:00Z</cp:lastPrinted>
  <dcterms:created xsi:type="dcterms:W3CDTF">2026-06-17T08:15:00Z</dcterms:created>
  <dcterms:modified xsi:type="dcterms:W3CDTF">2026-10-16T17:44:00Z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d0f6ce00-db16-3af6-8b66-18b43674805f</vt:lpwstr>
  </property>
  <property fmtid="{D5CDD505-2E9C-101B-9397-08002B2CF9AE}" pid="5" name="Mendeley Recent Style Id 0_1">
    <vt:lpwstr>http://www.zotero.org/styles/apa</vt:lpwstr>
  </property>
  <property fmtid="{D5CDD505-2E9C-101B-9397-08002B2CF9AE}" pid="6" name="Mendeley Recent Style Name 0_1">
    <vt:lpwstr>APA Style 7th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(author-date/Harvard)</vt:lpwstr>
  </property>
  <property fmtid="{D5CDD505-2E9C-101B-9397-08002B2CF9AE}" pid="15" name="Mendeley Recent Style Id 5_1">
    <vt:lpwstr>http://www.zotero.org/styles/ieee</vt:lpwstr>
  </property>
  <property fmtid="{D5CDD505-2E9C-101B-9397-08002B2CF9AE}" pid="16" name="Mendeley Recent Style Name 5_1">
    <vt:lpwstr>IEEE Reference Guide version 11.29.2023</vt:lpwstr>
  </property>
  <property fmtid="{D5CDD505-2E9C-101B-9397-08002B2CF9AE}" pid="17" name="Mendeley Recent Style Id 6_1">
    <vt:lpwstr>http://www.zotero.org/styles/modern-language-association</vt:lpwstr>
  </property>
  <property fmtid="{D5CDD505-2E9C-101B-9397-08002B2CF9AE}" pid="18" name="Mendeley Recent Style Name 6_1">
    <vt:lpwstr>MLA Handbook 9th edition (in-text citations)</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http://www.zotero.org/styles/university-of-gothenburg-apa-swedish-legislations</vt:lpwstr>
  </property>
  <property fmtid="{D5CDD505-2E9C-101B-9397-08002B2CF9AE}" pid="24" name="Mendeley Recent Style Name 9_1">
    <vt:lpwstr>University of Gothenburg - APA 6th edition (Swedish legislations)</vt:lpwstr>
  </property>
  <property fmtid="{D5CDD505-2E9C-101B-9397-08002B2CF9AE}" pid="25" name="ZOTERO_PREF_1">
    <vt:lpwstr>&lt;data data-version="3" zotero-version="7.0.32"&gt;&lt;session id="TJidyA8U"/&gt;&lt;style id="http://www.zotero.org/styles/apa" locale="en-US" hasBibliography="1" bibliographyStyleHasBeenSet="1"/&gt;&lt;prefs&gt;&lt;pref name="fieldType" value="Field"/&gt;&lt;/prefs&gt;&lt;/data&gt;</vt:lpwstr>
  </property>
</Properties>
</file>