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0D17" w:rsidRDefault="00F80D17" w:rsidP="00F80D17">
      <w:pPr>
        <w:pStyle w:val="Title"/>
        <w:spacing w:line="242" w:lineRule="auto"/>
      </w:pPr>
      <w:r>
        <w:t>Title (12 pt)</w:t>
      </w:r>
    </w:p>
    <w:p w:rsidR="00F80D17" w:rsidRDefault="00F80D17" w:rsidP="00F80D17">
      <w:pPr>
        <w:spacing w:before="154"/>
        <w:ind w:left="423" w:right="424"/>
        <w:jc w:val="center"/>
      </w:pPr>
      <w:r>
        <w:t>Author</w:t>
      </w:r>
      <w:r>
        <w:rPr>
          <w:vertAlign w:val="superscript"/>
        </w:rPr>
        <w:t>1</w:t>
      </w:r>
      <w:r>
        <w:t>,</w:t>
      </w:r>
      <w:r>
        <w:rPr>
          <w:spacing w:val="-4"/>
        </w:rPr>
        <w:t xml:space="preserve"> </w:t>
      </w:r>
      <w:r>
        <w:t>Author</w:t>
      </w:r>
      <w:r>
        <w:rPr>
          <w:spacing w:val="-2"/>
          <w:vertAlign w:val="superscript"/>
        </w:rPr>
        <w:t>2</w:t>
      </w:r>
    </w:p>
    <w:p w:rsidR="00F80D17" w:rsidRDefault="003B3264" w:rsidP="00F80D17">
      <w:pPr>
        <w:spacing w:before="2"/>
        <w:ind w:right="2"/>
        <w:jc w:val="center"/>
      </w:pPr>
      <w:r w:rsidRPr="003B3264">
        <w:rPr>
          <w:vertAlign w:val="superscript"/>
        </w:rPr>
        <w:t>1,2</w:t>
      </w:r>
      <w:r w:rsidR="00F80D17">
        <w:t>Universitas Islam Negeri Raden Mas Said Surakarta,</w:t>
      </w:r>
      <w:r w:rsidR="00F80D17">
        <w:rPr>
          <w:spacing w:val="-3"/>
        </w:rPr>
        <w:t xml:space="preserve"> </w:t>
      </w:r>
      <w:r w:rsidR="00F80D17">
        <w:t>Indonesia</w:t>
      </w:r>
    </w:p>
    <w:p w:rsidR="0073359B" w:rsidRDefault="00000000" w:rsidP="00F80D17">
      <w:pPr>
        <w:jc w:val="center"/>
        <w:rPr>
          <w:i/>
          <w:color w:val="000000" w:themeColor="text1"/>
        </w:rPr>
      </w:pPr>
      <w:hyperlink r:id="rId7" w:history="1">
        <w:r w:rsidR="00F80D17" w:rsidRPr="00811912">
          <w:rPr>
            <w:rStyle w:val="Hyperlink"/>
            <w:i/>
          </w:rPr>
          <w:t>yunika@uinsaid.ac.id</w:t>
        </w:r>
      </w:hyperlink>
      <w:r w:rsidR="00F80D17">
        <w:rPr>
          <w:i/>
          <w:color w:val="000000" w:themeColor="text1"/>
        </w:rPr>
        <w:t xml:space="preserve"> </w:t>
      </w:r>
    </w:p>
    <w:p w:rsidR="00F80D17" w:rsidRDefault="00F80D17" w:rsidP="00F80D17">
      <w:pPr>
        <w:jc w:val="center"/>
        <w:rPr>
          <w:i/>
          <w:color w:val="000000" w:themeColor="text1"/>
        </w:rPr>
      </w:pPr>
    </w:p>
    <w:p w:rsidR="00F80D17" w:rsidRPr="007F3808" w:rsidRDefault="00F80D17" w:rsidP="007F3808">
      <w:pPr>
        <w:spacing w:line="274" w:lineRule="exact"/>
        <w:ind w:left="423" w:right="424"/>
        <w:jc w:val="center"/>
        <w:rPr>
          <w:b/>
          <w:sz w:val="24"/>
        </w:rPr>
      </w:pPr>
      <w:r>
        <w:rPr>
          <w:b/>
          <w:color w:val="1F2023"/>
          <w:spacing w:val="-2"/>
          <w:sz w:val="24"/>
        </w:rPr>
        <w:t>Abstract</w:t>
      </w:r>
    </w:p>
    <w:p w:rsidR="00F80D17" w:rsidRDefault="007F3808" w:rsidP="007F3808">
      <w:pPr>
        <w:ind w:left="567" w:right="515"/>
        <w:jc w:val="both"/>
        <w:rPr>
          <w:i/>
          <w:color w:val="000000" w:themeColor="text1"/>
        </w:rPr>
      </w:pPr>
      <w:r>
        <w:t>This legal research explores the implementation of Islamic law in Aceh through a narrative inquiry approach. As the only province in Indonesia with special autonomy to enforce Islamic law, Aceh provides a unique legal and socio-cultural context in which religious norms intersect with state authority. The study seeks to understand how Islamic law is experienced, interpreted, and practiced by different stakeholders, including legal practitioners, community leaders, and ordinary citizens. By employing narrative inquiry, this research highlights personal stories and lived experiences that reveal both the strengths and challenges of implementing Islamic law in everyday life. The findings suggest that while Islamic law in Aceh contributes to shaping social identity and moral order, it also raises issues related to legal pluralism, human rights, and the balance between formal regulation and cultural acceptance. This study contributes to the broader discourse on law, religion, and society in contemporary Indonesia by offering an in-depth, experience-based perspective on the dynamics of Islamic law in Aceh</w:t>
      </w:r>
    </w:p>
    <w:p w:rsidR="00F80D17" w:rsidRDefault="00F80D17" w:rsidP="00F80D17">
      <w:pPr>
        <w:spacing w:before="275"/>
        <w:ind w:left="563"/>
        <w:rPr>
          <w:i/>
          <w:sz w:val="24"/>
        </w:rPr>
      </w:pPr>
      <w:r>
        <w:rPr>
          <w:b/>
          <w:i/>
          <w:color w:val="1F2023"/>
          <w:sz w:val="24"/>
        </w:rPr>
        <w:t>Keywords:</w:t>
      </w:r>
      <w:r>
        <w:rPr>
          <w:b/>
          <w:i/>
          <w:color w:val="1F2023"/>
          <w:spacing w:val="-2"/>
          <w:sz w:val="24"/>
        </w:rPr>
        <w:t xml:space="preserve"> </w:t>
      </w:r>
      <w:r>
        <w:rPr>
          <w:i/>
          <w:color w:val="1F2023"/>
          <w:sz w:val="24"/>
        </w:rPr>
        <w:t>terms</w:t>
      </w:r>
      <w:r>
        <w:rPr>
          <w:i/>
          <w:color w:val="1F2023"/>
          <w:spacing w:val="-1"/>
          <w:sz w:val="24"/>
        </w:rPr>
        <w:t xml:space="preserve"> </w:t>
      </w:r>
      <w:r>
        <w:rPr>
          <w:i/>
          <w:color w:val="1F2023"/>
          <w:sz w:val="24"/>
        </w:rPr>
        <w:t>of</w:t>
      </w:r>
      <w:r>
        <w:rPr>
          <w:i/>
          <w:color w:val="1F2023"/>
          <w:spacing w:val="-1"/>
          <w:sz w:val="24"/>
        </w:rPr>
        <w:t xml:space="preserve"> </w:t>
      </w:r>
      <w:r>
        <w:rPr>
          <w:i/>
          <w:color w:val="1F2023"/>
          <w:sz w:val="24"/>
        </w:rPr>
        <w:t>office,</w:t>
      </w:r>
      <w:r>
        <w:rPr>
          <w:i/>
          <w:color w:val="1F2023"/>
          <w:spacing w:val="-1"/>
          <w:sz w:val="24"/>
        </w:rPr>
        <w:t xml:space="preserve"> </w:t>
      </w:r>
      <w:r>
        <w:rPr>
          <w:i/>
          <w:color w:val="1F2023"/>
          <w:sz w:val="24"/>
        </w:rPr>
        <w:t>village</w:t>
      </w:r>
      <w:r>
        <w:rPr>
          <w:i/>
          <w:color w:val="1F2023"/>
          <w:spacing w:val="-1"/>
          <w:sz w:val="24"/>
        </w:rPr>
        <w:t xml:space="preserve"> </w:t>
      </w:r>
      <w:r>
        <w:rPr>
          <w:i/>
          <w:color w:val="1F2023"/>
          <w:sz w:val="24"/>
        </w:rPr>
        <w:t>head,</w:t>
      </w:r>
      <w:r>
        <w:rPr>
          <w:i/>
          <w:color w:val="1F2023"/>
          <w:spacing w:val="-1"/>
          <w:sz w:val="24"/>
        </w:rPr>
        <w:t xml:space="preserve"> </w:t>
      </w:r>
      <w:r>
        <w:rPr>
          <w:i/>
          <w:color w:val="1F2023"/>
          <w:sz w:val="24"/>
        </w:rPr>
        <w:t>political</w:t>
      </w:r>
      <w:r>
        <w:rPr>
          <w:i/>
          <w:color w:val="1F2023"/>
          <w:spacing w:val="-1"/>
          <w:sz w:val="24"/>
        </w:rPr>
        <w:t xml:space="preserve"> </w:t>
      </w:r>
      <w:r>
        <w:rPr>
          <w:i/>
          <w:color w:val="1F2023"/>
          <w:sz w:val="24"/>
        </w:rPr>
        <w:t>interests</w:t>
      </w:r>
      <w:r>
        <w:rPr>
          <w:i/>
          <w:color w:val="1F2023"/>
          <w:spacing w:val="-1"/>
          <w:sz w:val="24"/>
        </w:rPr>
        <w:t xml:space="preserve"> </w:t>
      </w:r>
      <w:r>
        <w:rPr>
          <w:i/>
          <w:color w:val="1F2023"/>
          <w:sz w:val="24"/>
        </w:rPr>
        <w:t>and</w:t>
      </w:r>
      <w:r>
        <w:rPr>
          <w:i/>
          <w:color w:val="1F2023"/>
          <w:spacing w:val="-1"/>
          <w:sz w:val="24"/>
        </w:rPr>
        <w:t xml:space="preserve"> </w:t>
      </w:r>
      <w:r>
        <w:rPr>
          <w:i/>
          <w:color w:val="1F2023"/>
          <w:sz w:val="24"/>
        </w:rPr>
        <w:t>legal</w:t>
      </w:r>
      <w:r>
        <w:rPr>
          <w:i/>
          <w:color w:val="1F2023"/>
          <w:spacing w:val="-1"/>
          <w:sz w:val="24"/>
        </w:rPr>
        <w:t xml:space="preserve"> </w:t>
      </w:r>
      <w:r>
        <w:rPr>
          <w:i/>
          <w:color w:val="1F2023"/>
          <w:spacing w:val="-2"/>
          <w:sz w:val="24"/>
        </w:rPr>
        <w:t>principles.</w:t>
      </w:r>
    </w:p>
    <w:p w:rsidR="00F80D17" w:rsidRDefault="00F80D17" w:rsidP="00F80D17">
      <w:pPr>
        <w:pStyle w:val="Heading1"/>
        <w:ind w:left="0"/>
        <w:jc w:val="left"/>
        <w:rPr>
          <w:spacing w:val="-2"/>
        </w:rPr>
      </w:pPr>
    </w:p>
    <w:p w:rsidR="00F80D17" w:rsidRDefault="00F80D17" w:rsidP="00F80D17">
      <w:pPr>
        <w:pStyle w:val="Heading1"/>
        <w:ind w:left="0"/>
        <w:jc w:val="left"/>
        <w:rPr>
          <w:spacing w:val="-2"/>
        </w:rPr>
      </w:pPr>
    </w:p>
    <w:p w:rsidR="007F3808" w:rsidRDefault="00F80D17" w:rsidP="007F3808">
      <w:pPr>
        <w:pStyle w:val="Heading1"/>
        <w:ind w:left="0"/>
        <w:jc w:val="left"/>
        <w:rPr>
          <w:spacing w:val="-2"/>
        </w:rPr>
      </w:pPr>
      <w:r>
        <w:rPr>
          <w:spacing w:val="-2"/>
        </w:rPr>
        <w:t>Introduction</w:t>
      </w:r>
    </w:p>
    <w:p w:rsidR="00F80D17" w:rsidRPr="007F3808" w:rsidRDefault="007F3808" w:rsidP="007F3808">
      <w:pPr>
        <w:pStyle w:val="Heading1"/>
        <w:ind w:left="0" w:firstLine="720"/>
        <w:rPr>
          <w:b w:val="0"/>
          <w:bCs w:val="0"/>
          <w:i/>
          <w:iCs/>
          <w:spacing w:val="-2"/>
        </w:rPr>
      </w:pPr>
      <w:r w:rsidRPr="007F3808">
        <w:rPr>
          <w:rStyle w:val="Emphasis"/>
          <w:b w:val="0"/>
          <w:bCs w:val="0"/>
          <w:i w:val="0"/>
          <w:iCs w:val="0"/>
        </w:rPr>
        <w:t>Islamic law is a comprehensive legal and ethical system derived primarily from the Qur’an and the Sunnah, which governs not only religious practices but also social, economic, and political aspects of Muslim life.</w:t>
      </w:r>
      <w:r w:rsidR="003F2024">
        <w:rPr>
          <w:rStyle w:val="FootnoteReference"/>
          <w:b w:val="0"/>
          <w:bCs w:val="0"/>
        </w:rPr>
        <w:footnoteReference w:id="1"/>
      </w:r>
    </w:p>
    <w:p w:rsidR="00F80D17" w:rsidRDefault="00F80D17" w:rsidP="00F80D17">
      <w:pPr>
        <w:pStyle w:val="Heading1"/>
        <w:spacing w:before="21"/>
        <w:ind w:left="0"/>
        <w:rPr>
          <w:spacing w:val="-2"/>
        </w:rPr>
      </w:pPr>
    </w:p>
    <w:p w:rsidR="00F80D17" w:rsidRDefault="00F80D17" w:rsidP="00F80D17">
      <w:pPr>
        <w:pStyle w:val="Heading1"/>
        <w:spacing w:before="21"/>
        <w:ind w:left="0"/>
      </w:pPr>
      <w:r>
        <w:t>Method</w:t>
      </w:r>
      <w:r>
        <w:rPr>
          <w:spacing w:val="-2"/>
        </w:rPr>
        <w:t xml:space="preserve"> Research</w:t>
      </w:r>
    </w:p>
    <w:p w:rsidR="00F80D17" w:rsidRPr="007F3808" w:rsidRDefault="007F3808" w:rsidP="007F3808">
      <w:pPr>
        <w:pStyle w:val="Heading1"/>
        <w:ind w:left="0" w:firstLine="720"/>
        <w:rPr>
          <w:lang w:val="en-ID"/>
        </w:rPr>
      </w:pPr>
      <w:r>
        <w:rPr>
          <w:rStyle w:val="Strong"/>
        </w:rPr>
        <w:t xml:space="preserve">This legal research uses a narrative inquiry approach, which seeks to explore and interpret legal </w:t>
      </w:r>
      <w:r w:rsidRPr="007F3808">
        <w:rPr>
          <w:rStyle w:val="Emphasis"/>
          <w:b w:val="0"/>
          <w:bCs w:val="0"/>
          <w:i w:val="0"/>
          <w:iCs w:val="0"/>
        </w:rPr>
        <w:t>phenomena</w:t>
      </w:r>
      <w:r>
        <w:rPr>
          <w:rStyle w:val="Strong"/>
        </w:rPr>
        <w:t xml:space="preserve"> through the stories, experiences, and perspectives of the subjects involved. By employing narrative inquiry, the study does not only focus on legal texts and doctrines but also on the lived realities that shape and are shaped by the law.</w:t>
      </w:r>
      <w:r w:rsidR="003F2024">
        <w:rPr>
          <w:rStyle w:val="FootnoteReference"/>
          <w:b w:val="0"/>
          <w:bCs w:val="0"/>
        </w:rPr>
        <w:footnoteReference w:id="2"/>
      </w:r>
    </w:p>
    <w:p w:rsidR="00F80D17" w:rsidRDefault="00F80D17" w:rsidP="00F80D17">
      <w:pPr>
        <w:pStyle w:val="Heading1"/>
        <w:ind w:left="0"/>
      </w:pPr>
    </w:p>
    <w:p w:rsidR="00F80D17" w:rsidRDefault="00F80D17" w:rsidP="00F80D17">
      <w:pPr>
        <w:pStyle w:val="Heading1"/>
        <w:ind w:left="0"/>
      </w:pPr>
      <w:r>
        <w:t>Results</w:t>
      </w:r>
      <w:r>
        <w:rPr>
          <w:spacing w:val="-1"/>
        </w:rPr>
        <w:t xml:space="preserve"> </w:t>
      </w:r>
      <w:r>
        <w:t>and</w:t>
      </w:r>
      <w:r>
        <w:rPr>
          <w:spacing w:val="-1"/>
        </w:rPr>
        <w:t xml:space="preserve"> </w:t>
      </w:r>
      <w:r>
        <w:rPr>
          <w:spacing w:val="-2"/>
        </w:rPr>
        <w:t>Discussion</w:t>
      </w:r>
    </w:p>
    <w:p w:rsidR="00F80D17" w:rsidRPr="007F3808" w:rsidRDefault="007F3808" w:rsidP="007F3808">
      <w:pPr>
        <w:ind w:firstLine="720"/>
        <w:rPr>
          <w:i/>
          <w:color w:val="000000" w:themeColor="text1"/>
        </w:rPr>
      </w:pPr>
      <w:r w:rsidRPr="007F3808">
        <w:rPr>
          <w:rStyle w:val="Strong"/>
          <w:b w:val="0"/>
          <w:bCs w:val="0"/>
        </w:rPr>
        <w:t>This legal</w:t>
      </w:r>
    </w:p>
    <w:p w:rsidR="00F80D17" w:rsidRPr="007F3808" w:rsidRDefault="00F80D17" w:rsidP="00F80D17">
      <w:pPr>
        <w:rPr>
          <w:iCs/>
          <w:color w:val="000000" w:themeColor="text1"/>
        </w:rPr>
      </w:pPr>
    </w:p>
    <w:p w:rsidR="00F80D17" w:rsidRPr="00F80D17" w:rsidRDefault="00F80D17" w:rsidP="00F80D17">
      <w:pPr>
        <w:rPr>
          <w:b/>
          <w:bCs/>
          <w:iCs/>
          <w:color w:val="000000" w:themeColor="text1"/>
        </w:rPr>
      </w:pPr>
      <w:r w:rsidRPr="00F80D17">
        <w:rPr>
          <w:b/>
          <w:bCs/>
          <w:iCs/>
          <w:color w:val="000000" w:themeColor="text1"/>
        </w:rPr>
        <w:t>Conclusion</w:t>
      </w:r>
    </w:p>
    <w:p w:rsidR="007F3808" w:rsidRPr="007F3808" w:rsidRDefault="007F3808" w:rsidP="007F3808">
      <w:pPr>
        <w:ind w:firstLine="720"/>
        <w:rPr>
          <w:i/>
          <w:color w:val="000000" w:themeColor="text1"/>
        </w:rPr>
      </w:pPr>
      <w:r w:rsidRPr="007F3808">
        <w:rPr>
          <w:rStyle w:val="Strong"/>
          <w:b w:val="0"/>
          <w:bCs w:val="0"/>
        </w:rPr>
        <w:t>This legal</w:t>
      </w:r>
    </w:p>
    <w:p w:rsidR="00F80D17" w:rsidRPr="007F3808" w:rsidRDefault="00F80D17" w:rsidP="00F80D17">
      <w:pPr>
        <w:rPr>
          <w:iCs/>
          <w:color w:val="000000" w:themeColor="text1"/>
        </w:rPr>
      </w:pPr>
    </w:p>
    <w:p w:rsidR="00F80D17" w:rsidRDefault="00F80D17" w:rsidP="00F80D17">
      <w:pPr>
        <w:rPr>
          <w:b/>
          <w:bCs/>
          <w:iCs/>
          <w:color w:val="000000" w:themeColor="text1"/>
        </w:rPr>
      </w:pPr>
      <w:r w:rsidRPr="00F80D17">
        <w:rPr>
          <w:b/>
          <w:bCs/>
          <w:iCs/>
          <w:color w:val="000000" w:themeColor="text1"/>
        </w:rPr>
        <w:t>References</w:t>
      </w:r>
      <w:r w:rsidR="003F2024">
        <w:rPr>
          <w:b/>
          <w:bCs/>
          <w:iCs/>
          <w:color w:val="000000" w:themeColor="text1"/>
        </w:rPr>
        <w:t xml:space="preserve"> (Turabian 9</w:t>
      </w:r>
      <w:r w:rsidR="003F2024" w:rsidRPr="003F2024">
        <w:rPr>
          <w:b/>
          <w:bCs/>
          <w:iCs/>
          <w:color w:val="000000" w:themeColor="text1"/>
          <w:vertAlign w:val="superscript"/>
        </w:rPr>
        <w:t>th</w:t>
      </w:r>
      <w:r w:rsidR="003F2024">
        <w:rPr>
          <w:b/>
          <w:bCs/>
          <w:iCs/>
          <w:color w:val="000000" w:themeColor="text1"/>
        </w:rPr>
        <w:t xml:space="preserve"> Edition Notes and Bibliography)</w:t>
      </w:r>
    </w:p>
    <w:p w:rsidR="003F2024" w:rsidRPr="003F2024" w:rsidRDefault="00820C98" w:rsidP="003F2024">
      <w:pPr>
        <w:adjustRightInd w:val="0"/>
        <w:ind w:left="480" w:hanging="480"/>
        <w:rPr>
          <w:noProof/>
        </w:rPr>
      </w:pPr>
      <w:r>
        <w:rPr>
          <w:b/>
          <w:bCs/>
          <w:iCs/>
          <w:color w:val="000000" w:themeColor="text1"/>
        </w:rPr>
        <w:fldChar w:fldCharType="begin" w:fldLock="1"/>
      </w:r>
      <w:r>
        <w:rPr>
          <w:b/>
          <w:bCs/>
          <w:iCs/>
          <w:color w:val="000000" w:themeColor="text1"/>
        </w:rPr>
        <w:instrText xml:space="preserve">ADDIN Mendeley Bibliography CSL_BIBLIOGRAPHY </w:instrText>
      </w:r>
      <w:r>
        <w:rPr>
          <w:b/>
          <w:bCs/>
          <w:iCs/>
          <w:color w:val="000000" w:themeColor="text1"/>
        </w:rPr>
        <w:fldChar w:fldCharType="separate"/>
      </w:r>
      <w:r w:rsidR="003F2024" w:rsidRPr="003F2024">
        <w:rPr>
          <w:noProof/>
        </w:rPr>
        <w:t xml:space="preserve">Epstein, Lee, and Andrew D Martin. </w:t>
      </w:r>
      <w:r w:rsidR="003F2024" w:rsidRPr="003F2024">
        <w:rPr>
          <w:i/>
          <w:iCs/>
          <w:noProof/>
        </w:rPr>
        <w:t>An Introduction to Empirical Legal Research</w:t>
      </w:r>
      <w:r w:rsidR="003F2024" w:rsidRPr="003F2024">
        <w:rPr>
          <w:noProof/>
        </w:rPr>
        <w:t>. Oxford University Press, USA, 2014.</w:t>
      </w:r>
    </w:p>
    <w:p w:rsidR="003F2024" w:rsidRPr="003F2024" w:rsidRDefault="003F2024" w:rsidP="003F2024">
      <w:pPr>
        <w:adjustRightInd w:val="0"/>
        <w:ind w:left="480" w:hanging="480"/>
        <w:rPr>
          <w:noProof/>
        </w:rPr>
      </w:pPr>
      <w:r w:rsidRPr="003F2024">
        <w:rPr>
          <w:noProof/>
        </w:rPr>
        <w:t>Lau, M. “Islamic Law and the Afghan Legal System.” 2003.</w:t>
      </w:r>
    </w:p>
    <w:p w:rsidR="007F3808" w:rsidRPr="00F80D17" w:rsidRDefault="00820C98" w:rsidP="003F2024">
      <w:pPr>
        <w:adjustRightInd w:val="0"/>
        <w:ind w:left="480" w:hanging="480"/>
        <w:rPr>
          <w:b/>
          <w:bCs/>
          <w:iCs/>
          <w:color w:val="000000" w:themeColor="text1"/>
        </w:rPr>
      </w:pPr>
      <w:r>
        <w:rPr>
          <w:b/>
          <w:bCs/>
          <w:iCs/>
          <w:color w:val="000000" w:themeColor="text1"/>
        </w:rPr>
        <w:fldChar w:fldCharType="end"/>
      </w:r>
    </w:p>
    <w:sectPr w:rsidR="007F3808" w:rsidRPr="00F80D17" w:rsidSect="00F80D17">
      <w:headerReference w:type="default" r:id="rId8"/>
      <w:footerReference w:type="even" r:id="rId9"/>
      <w:footerReference w:type="default" r:id="rId10"/>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361" w:rsidRDefault="005F5361" w:rsidP="00F80D17">
      <w:r>
        <w:separator/>
      </w:r>
    </w:p>
  </w:endnote>
  <w:endnote w:type="continuationSeparator" w:id="0">
    <w:p w:rsidR="005F5361" w:rsidRDefault="005F5361" w:rsidP="00F8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08630070"/>
      <w:docPartObj>
        <w:docPartGallery w:val="Page Numbers (Bottom of Page)"/>
        <w:docPartUnique/>
      </w:docPartObj>
    </w:sdtPr>
    <w:sdtContent>
      <w:p w:rsidR="00F80D17" w:rsidRDefault="00F80D17" w:rsidP="008119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80D17" w:rsidRDefault="00F80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0570320"/>
      <w:docPartObj>
        <w:docPartGallery w:val="Page Numbers (Bottom of Page)"/>
        <w:docPartUnique/>
      </w:docPartObj>
    </w:sdtPr>
    <w:sdtContent>
      <w:p w:rsidR="00F80D17" w:rsidRPr="00F80D17" w:rsidRDefault="00F80D17" w:rsidP="00811912">
        <w:pPr>
          <w:pStyle w:val="Footer"/>
          <w:framePr w:wrap="none" w:vAnchor="text" w:hAnchor="margin" w:xAlign="center" w:y="1"/>
          <w:rPr>
            <w:rStyle w:val="PageNumber"/>
          </w:rPr>
        </w:pPr>
        <w:r w:rsidRPr="00F80D17">
          <w:rPr>
            <w:rStyle w:val="PageNumber"/>
          </w:rPr>
          <w:fldChar w:fldCharType="begin"/>
        </w:r>
        <w:r w:rsidRPr="00F80D17">
          <w:rPr>
            <w:rStyle w:val="PageNumber"/>
          </w:rPr>
          <w:instrText xml:space="preserve"> PAGE </w:instrText>
        </w:r>
        <w:r w:rsidRPr="00F80D17">
          <w:rPr>
            <w:rStyle w:val="PageNumber"/>
          </w:rPr>
          <w:fldChar w:fldCharType="separate"/>
        </w:r>
        <w:r w:rsidRPr="00F80D17">
          <w:rPr>
            <w:rStyle w:val="PageNumber"/>
            <w:noProof/>
          </w:rPr>
          <w:t>1</w:t>
        </w:r>
        <w:r w:rsidRPr="00F80D17">
          <w:rPr>
            <w:rStyle w:val="PageNumber"/>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F80D17" w:rsidTr="00F80D17">
      <w:tc>
        <w:tcPr>
          <w:tcW w:w="4505" w:type="dxa"/>
        </w:tcPr>
        <w:p w:rsidR="00F80D17" w:rsidRPr="00F80D17" w:rsidRDefault="00F80D17" w:rsidP="00F80D17">
          <w:pPr>
            <w:spacing w:before="12"/>
            <w:ind w:left="20"/>
            <w:rPr>
              <w:sz w:val="18"/>
            </w:rPr>
          </w:pPr>
          <w:r>
            <w:rPr>
              <w:sz w:val="18"/>
            </w:rPr>
            <w:t>E-ISSN</w:t>
          </w:r>
          <w:r>
            <w:rPr>
              <w:spacing w:val="-3"/>
              <w:sz w:val="18"/>
            </w:rPr>
            <w:t xml:space="preserve"> </w:t>
          </w:r>
          <w:r>
            <w:rPr>
              <w:sz w:val="18"/>
            </w:rPr>
            <w:t>3026-</w:t>
          </w:r>
          <w:r>
            <w:rPr>
              <w:spacing w:val="-4"/>
              <w:sz w:val="18"/>
            </w:rPr>
            <w:t>667X</w:t>
          </w:r>
        </w:p>
      </w:tc>
      <w:tc>
        <w:tcPr>
          <w:tcW w:w="4505" w:type="dxa"/>
        </w:tcPr>
        <w:p w:rsidR="00F80D17" w:rsidRPr="00F80D17" w:rsidRDefault="00F80D17" w:rsidP="00F80D17">
          <w:pPr>
            <w:spacing w:before="12"/>
            <w:ind w:left="20"/>
            <w:jc w:val="right"/>
            <w:rPr>
              <w:sz w:val="18"/>
            </w:rPr>
          </w:pPr>
          <w:r>
            <w:rPr>
              <w:sz w:val="18"/>
            </w:rPr>
            <w:t>Proceedings</w:t>
          </w:r>
          <w:r>
            <w:rPr>
              <w:spacing w:val="-5"/>
              <w:sz w:val="18"/>
            </w:rPr>
            <w:t xml:space="preserve"> </w:t>
          </w:r>
          <w:r>
            <w:rPr>
              <w:spacing w:val="-4"/>
              <w:sz w:val="18"/>
            </w:rPr>
            <w:t>Book</w:t>
          </w:r>
        </w:p>
      </w:tc>
    </w:tr>
  </w:tbl>
  <w:p w:rsidR="00F80D17" w:rsidRDefault="00F8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361" w:rsidRDefault="005F5361" w:rsidP="00F80D17">
      <w:r>
        <w:separator/>
      </w:r>
    </w:p>
  </w:footnote>
  <w:footnote w:type="continuationSeparator" w:id="0">
    <w:p w:rsidR="005F5361" w:rsidRDefault="005F5361" w:rsidP="00F80D17">
      <w:r>
        <w:continuationSeparator/>
      </w:r>
    </w:p>
  </w:footnote>
  <w:footnote w:id="1">
    <w:p w:rsidR="003F2024" w:rsidRPr="003F2024" w:rsidRDefault="003F2024">
      <w:pPr>
        <w:pStyle w:val="FootnoteText"/>
        <w:rPr>
          <w:lang w:val="en-GB"/>
        </w:rPr>
      </w:pPr>
      <w:r>
        <w:rPr>
          <w:rStyle w:val="FootnoteReference"/>
        </w:rPr>
        <w:footnoteRef/>
      </w:r>
      <w:r>
        <w:t xml:space="preserve"> </w:t>
      </w:r>
      <w:r>
        <w:fldChar w:fldCharType="begin" w:fldLock="1"/>
      </w:r>
      <w:r>
        <w:instrText>ADDIN CSL_CITATION {"citationItems":[{"id":"ITEM-1","itemData":{"author":[{"dropping-particle":"","family":"Lau","given":"M.","non-dropping-particle":"","parse-names":false,"suffix":""}],"id":"ITEM-1","issued":{"date-parts":[["2003"]]},"title":"Islamic Law and the Afghan Legal System","type":"webpage"},"uris":["http://www.mendeley.com/documents/?uuid=e6a8d404-14a6-45e7-9008-8548baa58877"]}],"mendeley":{"formattedCitation":"M. Lau, “Islamic Law and the Afghan Legal System,” 2003.","plainTextFormattedCitation":"M. Lau, “Islamic Law and the Afghan Legal System,” 2003.","previouslyFormattedCitation":"M. Lau, “Islamic Law and the Afghan Legal System,” 2003."},"properties":{"noteIndex":1},"schema":"https://github.com/citation-style-language/schema/raw/master/csl-citation.json"}</w:instrText>
      </w:r>
      <w:r>
        <w:fldChar w:fldCharType="separate"/>
      </w:r>
      <w:r w:rsidRPr="003F2024">
        <w:rPr>
          <w:noProof/>
        </w:rPr>
        <w:t>M. Lau, “Islamic Law and the Afghan Legal System,” 2003.</w:t>
      </w:r>
      <w:r>
        <w:fldChar w:fldCharType="end"/>
      </w:r>
    </w:p>
  </w:footnote>
  <w:footnote w:id="2">
    <w:p w:rsidR="003F2024" w:rsidRPr="003F2024" w:rsidRDefault="003F2024">
      <w:pPr>
        <w:pStyle w:val="FootnoteText"/>
        <w:rPr>
          <w:lang w:val="en-GB"/>
        </w:rPr>
      </w:pPr>
      <w:r>
        <w:rPr>
          <w:rStyle w:val="FootnoteReference"/>
        </w:rPr>
        <w:footnoteRef/>
      </w:r>
      <w:r>
        <w:t xml:space="preserve"> </w:t>
      </w:r>
      <w:r>
        <w:fldChar w:fldCharType="begin" w:fldLock="1"/>
      </w:r>
      <w:r>
        <w:instrText>ADDIN CSL_CITATION {"citationItems":[{"id":"ITEM-1","itemData":{"ISBN":"0199669058","author":[{"dropping-particle":"","family":"Epstein","given":"Lee","non-dropping-particle":"","parse-names":false,"suffix":""},{"dropping-particle":"","family":"Martin","given":"Andrew D","non-dropping-particle":"","parse-names":false,"suffix":""}],"id":"ITEM-1","issued":{"date-parts":[["2014"]]},"publisher":"Oxford University Press, USA","title":"An introduction to empirical legal research","type":"book"},"uris":["http://www.mendeley.com/documents/?uuid=02346239-5bd9-4bfe-ab16-fa80a7ab42c9"]}],"mendeley":{"formattedCitation":"Lee Epstein and Andrew D Martin, &lt;i&gt;An Introduction to Empirical Legal Research&lt;/i&gt; (Oxford University Press, USA, 2014).","plainTextFormattedCitation":"Lee Epstein and Andrew D Martin, An Introduction to Empirical Legal Research (Oxford University Press, USA, 2014)."},"properties":{"noteIndex":2},"schema":"https://github.com/citation-style-language/schema/raw/master/csl-citation.json"}</w:instrText>
      </w:r>
      <w:r>
        <w:fldChar w:fldCharType="separate"/>
      </w:r>
      <w:r w:rsidRPr="003F2024">
        <w:rPr>
          <w:noProof/>
        </w:rPr>
        <w:t xml:space="preserve">Lee Epstein and Andrew D Martin, </w:t>
      </w:r>
      <w:r w:rsidRPr="003F2024">
        <w:rPr>
          <w:i/>
          <w:noProof/>
        </w:rPr>
        <w:t>An Introduction to Empirical Legal Research</w:t>
      </w:r>
      <w:r w:rsidRPr="003F2024">
        <w:rPr>
          <w:noProof/>
        </w:rPr>
        <w:t xml:space="preserve"> (Oxford University Press, USA, 2014).</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40"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134"/>
    </w:tblGrid>
    <w:tr w:rsidR="00F80D17" w:rsidTr="00F80D17">
      <w:tc>
        <w:tcPr>
          <w:tcW w:w="8506" w:type="dxa"/>
        </w:tcPr>
        <w:p w:rsidR="00F80D17" w:rsidRPr="00F80D17" w:rsidRDefault="00F80D17" w:rsidP="00F80D17">
          <w:pPr>
            <w:spacing w:before="20"/>
            <w:rPr>
              <w:b/>
              <w:sz w:val="20"/>
              <w:szCs w:val="20"/>
            </w:rPr>
          </w:pPr>
          <w:r w:rsidRPr="00F80D17">
            <w:rPr>
              <w:b/>
              <w:color w:val="333333"/>
              <w:sz w:val="20"/>
              <w:szCs w:val="20"/>
            </w:rPr>
            <w:t>Proceeding</w:t>
          </w:r>
          <w:r w:rsidRPr="00F80D17">
            <w:rPr>
              <w:b/>
              <w:color w:val="333333"/>
              <w:spacing w:val="-9"/>
              <w:sz w:val="20"/>
              <w:szCs w:val="20"/>
            </w:rPr>
            <w:t xml:space="preserve"> </w:t>
          </w:r>
          <w:r w:rsidRPr="00F80D17">
            <w:rPr>
              <w:b/>
              <w:color w:val="333333"/>
              <w:sz w:val="20"/>
              <w:szCs w:val="20"/>
            </w:rPr>
            <w:t>of</w:t>
          </w:r>
          <w:r w:rsidRPr="00F80D17">
            <w:rPr>
              <w:b/>
              <w:color w:val="333333"/>
              <w:spacing w:val="-5"/>
              <w:sz w:val="20"/>
              <w:szCs w:val="20"/>
            </w:rPr>
            <w:t xml:space="preserve"> </w:t>
          </w:r>
          <w:proofErr w:type="spellStart"/>
          <w:r w:rsidRPr="00F80D17">
            <w:rPr>
              <w:b/>
              <w:color w:val="333333"/>
              <w:sz w:val="20"/>
              <w:szCs w:val="20"/>
            </w:rPr>
            <w:t>ICCoLaSS</w:t>
          </w:r>
          <w:proofErr w:type="spellEnd"/>
          <w:r w:rsidRPr="00F80D17">
            <w:rPr>
              <w:b/>
              <w:color w:val="333333"/>
              <w:sz w:val="20"/>
              <w:szCs w:val="20"/>
            </w:rPr>
            <w:t>:</w:t>
          </w:r>
          <w:r w:rsidRPr="00F80D17">
            <w:rPr>
              <w:b/>
              <w:color w:val="333333"/>
              <w:spacing w:val="-3"/>
              <w:sz w:val="20"/>
              <w:szCs w:val="20"/>
            </w:rPr>
            <w:t xml:space="preserve"> </w:t>
          </w:r>
          <w:r w:rsidRPr="00F80D17">
            <w:rPr>
              <w:b/>
              <w:color w:val="333333"/>
              <w:sz w:val="20"/>
              <w:szCs w:val="20"/>
            </w:rPr>
            <w:t>International</w:t>
          </w:r>
          <w:r w:rsidRPr="00F80D17">
            <w:rPr>
              <w:b/>
              <w:color w:val="333333"/>
              <w:spacing w:val="-5"/>
              <w:sz w:val="20"/>
              <w:szCs w:val="20"/>
            </w:rPr>
            <w:t xml:space="preserve"> </w:t>
          </w:r>
          <w:r w:rsidRPr="00F80D17">
            <w:rPr>
              <w:b/>
              <w:color w:val="333333"/>
              <w:sz w:val="20"/>
              <w:szCs w:val="20"/>
            </w:rPr>
            <w:t>Collaboration</w:t>
          </w:r>
          <w:r w:rsidRPr="00F80D17">
            <w:rPr>
              <w:b/>
              <w:color w:val="333333"/>
              <w:spacing w:val="-4"/>
              <w:sz w:val="20"/>
              <w:szCs w:val="20"/>
            </w:rPr>
            <w:t xml:space="preserve"> </w:t>
          </w:r>
          <w:r w:rsidRPr="00F80D17">
            <w:rPr>
              <w:b/>
              <w:color w:val="333333"/>
              <w:sz w:val="20"/>
              <w:szCs w:val="20"/>
            </w:rPr>
            <w:t>Conference</w:t>
          </w:r>
          <w:r w:rsidRPr="00F80D17">
            <w:rPr>
              <w:b/>
              <w:color w:val="333333"/>
              <w:spacing w:val="-3"/>
              <w:sz w:val="20"/>
              <w:szCs w:val="20"/>
            </w:rPr>
            <w:t xml:space="preserve"> </w:t>
          </w:r>
          <w:r w:rsidRPr="00F80D17">
            <w:rPr>
              <w:b/>
              <w:color w:val="333333"/>
              <w:sz w:val="20"/>
              <w:szCs w:val="20"/>
            </w:rPr>
            <w:t>on</w:t>
          </w:r>
          <w:r w:rsidRPr="00F80D17">
            <w:rPr>
              <w:b/>
              <w:color w:val="333333"/>
              <w:spacing w:val="-5"/>
              <w:sz w:val="20"/>
              <w:szCs w:val="20"/>
            </w:rPr>
            <w:t xml:space="preserve"> </w:t>
          </w:r>
          <w:r w:rsidRPr="00F80D17">
            <w:rPr>
              <w:b/>
              <w:color w:val="333333"/>
              <w:sz w:val="20"/>
              <w:szCs w:val="20"/>
            </w:rPr>
            <w:t>Law,</w:t>
          </w:r>
          <w:r w:rsidRPr="00F80D17">
            <w:rPr>
              <w:b/>
              <w:color w:val="333333"/>
              <w:spacing w:val="-4"/>
              <w:sz w:val="20"/>
              <w:szCs w:val="20"/>
            </w:rPr>
            <w:t xml:space="preserve"> </w:t>
          </w:r>
          <w:r w:rsidRPr="00F80D17">
            <w:rPr>
              <w:b/>
              <w:color w:val="333333"/>
              <w:sz w:val="20"/>
              <w:szCs w:val="20"/>
            </w:rPr>
            <w:t>Sharia</w:t>
          </w:r>
          <w:r w:rsidRPr="00F80D17">
            <w:rPr>
              <w:b/>
              <w:color w:val="333333"/>
              <w:spacing w:val="-4"/>
              <w:sz w:val="20"/>
              <w:szCs w:val="20"/>
            </w:rPr>
            <w:t xml:space="preserve"> </w:t>
          </w:r>
          <w:r w:rsidRPr="00F80D17">
            <w:rPr>
              <w:b/>
              <w:color w:val="333333"/>
              <w:sz w:val="20"/>
              <w:szCs w:val="20"/>
            </w:rPr>
            <w:t>and</w:t>
          </w:r>
          <w:r w:rsidRPr="00F80D17">
            <w:rPr>
              <w:b/>
              <w:color w:val="333333"/>
              <w:spacing w:val="-5"/>
              <w:sz w:val="20"/>
              <w:szCs w:val="20"/>
            </w:rPr>
            <w:t xml:space="preserve"> </w:t>
          </w:r>
          <w:r w:rsidRPr="00F80D17">
            <w:rPr>
              <w:b/>
              <w:color w:val="333333"/>
              <w:spacing w:val="-2"/>
              <w:sz w:val="20"/>
              <w:szCs w:val="20"/>
            </w:rPr>
            <w:t>Society</w:t>
          </w:r>
          <w:r>
            <w:rPr>
              <w:b/>
              <w:color w:val="333333"/>
              <w:spacing w:val="-2"/>
              <w:sz w:val="20"/>
              <w:szCs w:val="20"/>
            </w:rPr>
            <w:br/>
          </w:r>
          <w:r w:rsidRPr="00F80D17">
            <w:rPr>
              <w:sz w:val="20"/>
              <w:szCs w:val="20"/>
            </w:rPr>
            <w:t>Theme: Law, Society and Sustainability: Navigating Challenges in the Digital, Environmental, and Socio-Religious Landscape</w:t>
          </w:r>
        </w:p>
        <w:p w:rsidR="00F80D17" w:rsidRPr="00F80D17" w:rsidRDefault="00F80D17" w:rsidP="00F80D17">
          <w:pPr>
            <w:pStyle w:val="Header"/>
            <w:rPr>
              <w:sz w:val="20"/>
              <w:szCs w:val="20"/>
            </w:rPr>
          </w:pPr>
          <w:r>
            <w:rPr>
              <w:sz w:val="20"/>
              <w:szCs w:val="20"/>
            </w:rPr>
            <w:t>Surakarta, November 5</w:t>
          </w:r>
          <w:r w:rsidR="003D08F9" w:rsidRPr="003D08F9">
            <w:rPr>
              <w:sz w:val="20"/>
              <w:szCs w:val="20"/>
              <w:vertAlign w:val="superscript"/>
            </w:rPr>
            <w:t>th</w:t>
          </w:r>
          <w:r w:rsidR="003D08F9">
            <w:rPr>
              <w:sz w:val="20"/>
              <w:szCs w:val="20"/>
            </w:rPr>
            <w:t xml:space="preserve"> </w:t>
          </w:r>
          <w:r>
            <w:rPr>
              <w:sz w:val="20"/>
              <w:szCs w:val="20"/>
            </w:rPr>
            <w:t>2025</w:t>
          </w:r>
        </w:p>
      </w:tc>
      <w:tc>
        <w:tcPr>
          <w:tcW w:w="1134" w:type="dxa"/>
        </w:tcPr>
        <w:p w:rsidR="00F80D17" w:rsidRDefault="00F80D17" w:rsidP="00F80D17">
          <w:pPr>
            <w:spacing w:before="20"/>
            <w:rPr>
              <w:b/>
              <w:color w:val="333333"/>
              <w:sz w:val="20"/>
              <w:szCs w:val="20"/>
            </w:rPr>
          </w:pPr>
          <w:r w:rsidRPr="00F80D17">
            <w:rPr>
              <w:b/>
              <w:noProof/>
              <w:sz w:val="20"/>
              <w:szCs w:val="20"/>
            </w:rPr>
            <w:drawing>
              <wp:inline distT="0" distB="0" distL="0" distR="0" wp14:anchorId="7DBBFB7F" wp14:editId="2FAC2761">
                <wp:extent cx="493801" cy="547200"/>
                <wp:effectExtent l="0" t="0" r="1905"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801" cy="547200"/>
                        </a:xfrm>
                        <a:prstGeom prst="rect">
                          <a:avLst/>
                        </a:prstGeom>
                      </pic:spPr>
                    </pic:pic>
                  </a:graphicData>
                </a:graphic>
              </wp:inline>
            </w:drawing>
          </w:r>
        </w:p>
      </w:tc>
    </w:tr>
  </w:tbl>
  <w:p w:rsidR="00F80D17" w:rsidRPr="00F80D17" w:rsidRDefault="00F80D17" w:rsidP="00F80D17">
    <w:pPr>
      <w:spacing w:before="20"/>
      <w:ind w:left="2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17"/>
    <w:rsid w:val="00033847"/>
    <w:rsid w:val="00276962"/>
    <w:rsid w:val="003B3264"/>
    <w:rsid w:val="003D08F9"/>
    <w:rsid w:val="003F2024"/>
    <w:rsid w:val="004942AE"/>
    <w:rsid w:val="0054382F"/>
    <w:rsid w:val="00544AFC"/>
    <w:rsid w:val="005F5361"/>
    <w:rsid w:val="0073359B"/>
    <w:rsid w:val="007F3808"/>
    <w:rsid w:val="00820C98"/>
    <w:rsid w:val="008D3368"/>
    <w:rsid w:val="00C21D01"/>
    <w:rsid w:val="00EE4A9F"/>
    <w:rsid w:val="00F80D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448C"/>
  <w15:chartTrackingRefBased/>
  <w15:docId w15:val="{C0067979-0510-6343-AC25-B47B5106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D17"/>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Heading1">
    <w:name w:val="heading 1"/>
    <w:basedOn w:val="Normal"/>
    <w:link w:val="Heading1Char"/>
    <w:uiPriority w:val="9"/>
    <w:qFormat/>
    <w:rsid w:val="00F80D17"/>
    <w:pPr>
      <w:ind w:left="5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D17"/>
    <w:pPr>
      <w:tabs>
        <w:tab w:val="center" w:pos="4680"/>
        <w:tab w:val="right" w:pos="9360"/>
      </w:tabs>
    </w:pPr>
  </w:style>
  <w:style w:type="character" w:customStyle="1" w:styleId="HeaderChar">
    <w:name w:val="Header Char"/>
    <w:basedOn w:val="DefaultParagraphFont"/>
    <w:link w:val="Header"/>
    <w:uiPriority w:val="99"/>
    <w:rsid w:val="00F80D17"/>
  </w:style>
  <w:style w:type="paragraph" w:styleId="Footer">
    <w:name w:val="footer"/>
    <w:basedOn w:val="Normal"/>
    <w:link w:val="FooterChar"/>
    <w:uiPriority w:val="99"/>
    <w:unhideWhenUsed/>
    <w:rsid w:val="00F80D17"/>
    <w:pPr>
      <w:tabs>
        <w:tab w:val="center" w:pos="4680"/>
        <w:tab w:val="right" w:pos="9360"/>
      </w:tabs>
    </w:pPr>
  </w:style>
  <w:style w:type="character" w:customStyle="1" w:styleId="FooterChar">
    <w:name w:val="Footer Char"/>
    <w:basedOn w:val="DefaultParagraphFont"/>
    <w:link w:val="Footer"/>
    <w:uiPriority w:val="99"/>
    <w:rsid w:val="00F80D17"/>
  </w:style>
  <w:style w:type="table" w:styleId="TableGrid">
    <w:name w:val="Table Grid"/>
    <w:basedOn w:val="TableNormal"/>
    <w:uiPriority w:val="39"/>
    <w:rsid w:val="00F8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F80D17"/>
    <w:pPr>
      <w:ind w:left="2109" w:right="2113" w:hanging="1"/>
      <w:jc w:val="center"/>
    </w:pPr>
    <w:rPr>
      <w:b/>
      <w:bCs/>
      <w:sz w:val="28"/>
      <w:szCs w:val="28"/>
    </w:rPr>
  </w:style>
  <w:style w:type="character" w:customStyle="1" w:styleId="TitleChar">
    <w:name w:val="Title Char"/>
    <w:basedOn w:val="DefaultParagraphFont"/>
    <w:link w:val="Title"/>
    <w:uiPriority w:val="10"/>
    <w:rsid w:val="00F80D17"/>
    <w:rPr>
      <w:rFonts w:ascii="Times New Roman" w:eastAsia="Times New Roman" w:hAnsi="Times New Roman" w:cs="Times New Roman"/>
      <w:b/>
      <w:bCs/>
      <w:kern w:val="0"/>
      <w:sz w:val="28"/>
      <w:szCs w:val="28"/>
      <w:lang w:val="en-US"/>
      <w14:ligatures w14:val="none"/>
    </w:rPr>
  </w:style>
  <w:style w:type="character" w:styleId="Hyperlink">
    <w:name w:val="Hyperlink"/>
    <w:basedOn w:val="DefaultParagraphFont"/>
    <w:uiPriority w:val="99"/>
    <w:unhideWhenUsed/>
    <w:rsid w:val="00F80D17"/>
    <w:rPr>
      <w:color w:val="0563C1" w:themeColor="hyperlink"/>
      <w:u w:val="single"/>
    </w:rPr>
  </w:style>
  <w:style w:type="character" w:styleId="UnresolvedMention">
    <w:name w:val="Unresolved Mention"/>
    <w:basedOn w:val="DefaultParagraphFont"/>
    <w:uiPriority w:val="99"/>
    <w:semiHidden/>
    <w:unhideWhenUsed/>
    <w:rsid w:val="00F80D17"/>
    <w:rPr>
      <w:color w:val="605E5C"/>
      <w:shd w:val="clear" w:color="auto" w:fill="E1DFDD"/>
    </w:rPr>
  </w:style>
  <w:style w:type="character" w:customStyle="1" w:styleId="Heading1Char">
    <w:name w:val="Heading 1 Char"/>
    <w:basedOn w:val="DefaultParagraphFont"/>
    <w:link w:val="Heading1"/>
    <w:uiPriority w:val="9"/>
    <w:rsid w:val="00F80D17"/>
    <w:rPr>
      <w:rFonts w:ascii="Times New Roman" w:eastAsia="Times New Roman" w:hAnsi="Times New Roman" w:cs="Times New Roman"/>
      <w:b/>
      <w:bCs/>
      <w:kern w:val="0"/>
      <w:lang w:val="en-US"/>
      <w14:ligatures w14:val="none"/>
    </w:rPr>
  </w:style>
  <w:style w:type="paragraph" w:styleId="BodyText">
    <w:name w:val="Body Text"/>
    <w:basedOn w:val="Normal"/>
    <w:link w:val="BodyTextChar"/>
    <w:uiPriority w:val="1"/>
    <w:qFormat/>
    <w:rsid w:val="00F80D17"/>
    <w:rPr>
      <w:sz w:val="24"/>
      <w:szCs w:val="24"/>
    </w:rPr>
  </w:style>
  <w:style w:type="character" w:customStyle="1" w:styleId="BodyTextChar">
    <w:name w:val="Body Text Char"/>
    <w:basedOn w:val="DefaultParagraphFont"/>
    <w:link w:val="BodyText"/>
    <w:uiPriority w:val="1"/>
    <w:rsid w:val="00F80D17"/>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F80D17"/>
  </w:style>
  <w:style w:type="paragraph" w:styleId="NormalWeb">
    <w:name w:val="Normal (Web)"/>
    <w:basedOn w:val="Normal"/>
    <w:uiPriority w:val="99"/>
    <w:semiHidden/>
    <w:unhideWhenUsed/>
    <w:rsid w:val="007F3808"/>
    <w:pPr>
      <w:widowControl/>
      <w:autoSpaceDE/>
      <w:autoSpaceDN/>
      <w:spacing w:before="100" w:beforeAutospacing="1" w:after="100" w:afterAutospacing="1"/>
    </w:pPr>
    <w:rPr>
      <w:sz w:val="24"/>
      <w:szCs w:val="24"/>
      <w:lang w:val="en-ID"/>
    </w:rPr>
  </w:style>
  <w:style w:type="character" w:styleId="Emphasis">
    <w:name w:val="Emphasis"/>
    <w:basedOn w:val="DefaultParagraphFont"/>
    <w:uiPriority w:val="20"/>
    <w:qFormat/>
    <w:rsid w:val="007F3808"/>
    <w:rPr>
      <w:i/>
      <w:iCs/>
    </w:rPr>
  </w:style>
  <w:style w:type="character" w:styleId="Strong">
    <w:name w:val="Strong"/>
    <w:basedOn w:val="DefaultParagraphFont"/>
    <w:uiPriority w:val="22"/>
    <w:qFormat/>
    <w:rsid w:val="007F3808"/>
    <w:rPr>
      <w:b/>
      <w:bCs/>
    </w:rPr>
  </w:style>
  <w:style w:type="paragraph" w:styleId="FootnoteText">
    <w:name w:val="footnote text"/>
    <w:basedOn w:val="Normal"/>
    <w:link w:val="FootnoteTextChar"/>
    <w:uiPriority w:val="99"/>
    <w:semiHidden/>
    <w:unhideWhenUsed/>
    <w:rsid w:val="008D3368"/>
    <w:rPr>
      <w:sz w:val="20"/>
      <w:szCs w:val="20"/>
    </w:rPr>
  </w:style>
  <w:style w:type="character" w:customStyle="1" w:styleId="FootnoteTextChar">
    <w:name w:val="Footnote Text Char"/>
    <w:basedOn w:val="DefaultParagraphFont"/>
    <w:link w:val="FootnoteText"/>
    <w:uiPriority w:val="99"/>
    <w:semiHidden/>
    <w:rsid w:val="008D3368"/>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8D3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415584">
      <w:bodyDiv w:val="1"/>
      <w:marLeft w:val="0"/>
      <w:marRight w:val="0"/>
      <w:marTop w:val="0"/>
      <w:marBottom w:val="0"/>
      <w:divBdr>
        <w:top w:val="none" w:sz="0" w:space="0" w:color="auto"/>
        <w:left w:val="none" w:sz="0" w:space="0" w:color="auto"/>
        <w:bottom w:val="none" w:sz="0" w:space="0" w:color="auto"/>
        <w:right w:val="none" w:sz="0" w:space="0" w:color="auto"/>
      </w:divBdr>
    </w:div>
    <w:div w:id="2046364996">
      <w:bodyDiv w:val="1"/>
      <w:marLeft w:val="0"/>
      <w:marRight w:val="0"/>
      <w:marTop w:val="0"/>
      <w:marBottom w:val="0"/>
      <w:divBdr>
        <w:top w:val="none" w:sz="0" w:space="0" w:color="auto"/>
        <w:left w:val="none" w:sz="0" w:space="0" w:color="auto"/>
        <w:bottom w:val="none" w:sz="0" w:space="0" w:color="auto"/>
        <w:right w:val="none" w:sz="0" w:space="0" w:color="auto"/>
      </w:divBdr>
      <w:divsChild>
        <w:div w:id="434835697">
          <w:marLeft w:val="0"/>
          <w:marRight w:val="0"/>
          <w:marTop w:val="0"/>
          <w:marBottom w:val="0"/>
          <w:divBdr>
            <w:top w:val="none" w:sz="0" w:space="0" w:color="auto"/>
            <w:left w:val="none" w:sz="0" w:space="0" w:color="auto"/>
            <w:bottom w:val="none" w:sz="0" w:space="0" w:color="auto"/>
            <w:right w:val="none" w:sz="0" w:space="0" w:color="auto"/>
          </w:divBdr>
          <w:divsChild>
            <w:div w:id="302855653">
              <w:marLeft w:val="0"/>
              <w:marRight w:val="0"/>
              <w:marTop w:val="0"/>
              <w:marBottom w:val="0"/>
              <w:divBdr>
                <w:top w:val="none" w:sz="0" w:space="0" w:color="auto"/>
                <w:left w:val="none" w:sz="0" w:space="0" w:color="auto"/>
                <w:bottom w:val="none" w:sz="0" w:space="0" w:color="auto"/>
                <w:right w:val="none" w:sz="0" w:space="0" w:color="auto"/>
              </w:divBdr>
              <w:divsChild>
                <w:div w:id="2104916661">
                  <w:marLeft w:val="0"/>
                  <w:marRight w:val="0"/>
                  <w:marTop w:val="0"/>
                  <w:marBottom w:val="0"/>
                  <w:divBdr>
                    <w:top w:val="none" w:sz="0" w:space="0" w:color="auto"/>
                    <w:left w:val="none" w:sz="0" w:space="0" w:color="auto"/>
                    <w:bottom w:val="none" w:sz="0" w:space="0" w:color="auto"/>
                    <w:right w:val="none" w:sz="0" w:space="0" w:color="auto"/>
                  </w:divBdr>
                  <w:divsChild>
                    <w:div w:id="83961792">
                      <w:marLeft w:val="0"/>
                      <w:marRight w:val="0"/>
                      <w:marTop w:val="0"/>
                      <w:marBottom w:val="0"/>
                      <w:divBdr>
                        <w:top w:val="none" w:sz="0" w:space="0" w:color="auto"/>
                        <w:left w:val="none" w:sz="0" w:space="0" w:color="auto"/>
                        <w:bottom w:val="none" w:sz="0" w:space="0" w:color="auto"/>
                        <w:right w:val="none" w:sz="0" w:space="0" w:color="auto"/>
                      </w:divBdr>
                      <w:divsChild>
                        <w:div w:id="798648631">
                          <w:marLeft w:val="0"/>
                          <w:marRight w:val="0"/>
                          <w:marTop w:val="0"/>
                          <w:marBottom w:val="0"/>
                          <w:divBdr>
                            <w:top w:val="none" w:sz="0" w:space="0" w:color="auto"/>
                            <w:left w:val="none" w:sz="0" w:space="0" w:color="auto"/>
                            <w:bottom w:val="none" w:sz="0" w:space="0" w:color="auto"/>
                            <w:right w:val="none" w:sz="0" w:space="0" w:color="auto"/>
                          </w:divBdr>
                          <w:divsChild>
                            <w:div w:id="4340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nika@uinsaid.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0B812-96DC-664F-90FE-CF079E9D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Yunika Triana</dc:creator>
  <cp:keywords/>
  <dc:description/>
  <cp:lastModifiedBy>Yunika Triana</cp:lastModifiedBy>
  <cp:revision>6</cp:revision>
  <dcterms:created xsi:type="dcterms:W3CDTF">2025-09-21T16:30:00Z</dcterms:created>
  <dcterms:modified xsi:type="dcterms:W3CDTF">2025-09-21T17:10:00Z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4th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http://www.zotero.org/styles/turabian-notes-bibliography</vt:lpwstr>
  </property>
  <property fmtid="{D5CDD505-2E9C-101B-9397-08002B2CF9AE}" pid="19" name="Mendeley Recent Style Name 8_1">
    <vt:lpwstr>Turabian 9th edition (notes and bibliography)</vt:lpwstr>
  </property>
  <property fmtid="{D5CDD505-2E9C-101B-9397-08002B2CF9AE}" pid="20" name="Mendeley Recent Style Id 9_1">
    <vt:lpwstr>http://www.zotero.org/styles/university-of-gothenburg-apa-swedish-legislations</vt:lpwstr>
  </property>
  <property fmtid="{D5CDD505-2E9C-101B-9397-08002B2CF9AE}" pid="21" name="Mendeley Recent Style Name 9_1">
    <vt:lpwstr>University of Gothenburg - APA 6th edition (Swedish legislations)</vt:lpwstr>
  </property>
  <property fmtid="{D5CDD505-2E9C-101B-9397-08002B2CF9AE}" pid="22" name="Mendeley Document_1">
    <vt:lpwstr>True</vt:lpwstr>
  </property>
  <property fmtid="{D5CDD505-2E9C-101B-9397-08002B2CF9AE}" pid="23" name="Mendeley Unique User Id_1">
    <vt:lpwstr>84210439-bb90-301d-ae19-45d81fc69aa4</vt:lpwstr>
  </property>
  <property fmtid="{D5CDD505-2E9C-101B-9397-08002B2CF9AE}" pid="24" name="Mendeley Citation Style_1">
    <vt:lpwstr>http://www.zotero.org/styles/turabian-notes-bibliography</vt:lpwstr>
  </property>
</Properties>
</file>